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0A0" w:firstRow="1" w:lastRow="0" w:firstColumn="1" w:lastColumn="0" w:noHBand="0" w:noVBand="0"/>
      </w:tblPr>
      <w:tblGrid>
        <w:gridCol w:w="4513"/>
        <w:gridCol w:w="4513"/>
      </w:tblGrid>
      <w:tr w:rsidR="00C529E0" w:rsidRPr="00D56E35" w:rsidTr="00E83525">
        <w:trPr>
          <w:tblCellSpacing w:w="0" w:type="dxa"/>
        </w:trPr>
        <w:tc>
          <w:tcPr>
            <w:tcW w:w="0" w:type="auto"/>
            <w:vAlign w:val="center"/>
          </w:tcPr>
          <w:p w:rsidR="00C529E0" w:rsidRPr="00D56E35" w:rsidRDefault="00C529E0" w:rsidP="00E83525">
            <w:pPr>
              <w:rPr>
                <w:rFonts w:ascii="Verdana" w:hAnsi="Verdana"/>
                <w:color w:val="4F81BD"/>
                <w:sz w:val="19"/>
                <w:szCs w:val="19"/>
              </w:rPr>
            </w:pPr>
            <w:bookmarkStart w:id="0" w:name="_GoBack"/>
            <w:bookmarkEnd w:id="0"/>
          </w:p>
        </w:tc>
        <w:tc>
          <w:tcPr>
            <w:tcW w:w="0" w:type="auto"/>
            <w:vAlign w:val="center"/>
          </w:tcPr>
          <w:p w:rsidR="00C529E0" w:rsidRPr="00D56E35" w:rsidRDefault="00C529E0" w:rsidP="00E83525">
            <w:pPr>
              <w:jc w:val="right"/>
              <w:rPr>
                <w:rFonts w:ascii="Verdana" w:hAnsi="Verdana"/>
                <w:color w:val="4F81BD"/>
                <w:sz w:val="19"/>
                <w:szCs w:val="19"/>
              </w:rPr>
            </w:pPr>
          </w:p>
        </w:tc>
      </w:tr>
    </w:tbl>
    <w:p w:rsidR="00C529E0" w:rsidRDefault="00D21E65" w:rsidP="00B46CAD">
      <w:pPr>
        <w:rPr>
          <w:b/>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ER logo" style="width:217.5pt;height:55.5pt">
            <v:imagedata r:id="rId8" o:title=""/>
          </v:shape>
        </w:pict>
      </w:r>
    </w:p>
    <w:p w:rsidR="00C529E0" w:rsidRPr="00DC1450" w:rsidRDefault="00C529E0" w:rsidP="00B46CAD">
      <w:pPr>
        <w:pStyle w:val="AERtitle1"/>
        <w:rPr>
          <w:szCs w:val="36"/>
        </w:rPr>
      </w:pPr>
      <w:r w:rsidRPr="00DC1450">
        <w:rPr>
          <w:szCs w:val="36"/>
        </w:rPr>
        <w:t>Expenditure Forecast Assessment Guidel</w:t>
      </w:r>
      <w:r>
        <w:rPr>
          <w:szCs w:val="36"/>
        </w:rPr>
        <w:t xml:space="preserve">ines Working Group meeting No. </w:t>
      </w:r>
      <w:r w:rsidR="00D03BF8">
        <w:rPr>
          <w:szCs w:val="36"/>
        </w:rPr>
        <w:t>17</w:t>
      </w:r>
    </w:p>
    <w:p w:rsidR="00C529E0" w:rsidRPr="00F209C9" w:rsidRDefault="00C529E0" w:rsidP="00B46CAD">
      <w:pPr>
        <w:pStyle w:val="Heading1"/>
      </w:pPr>
      <w:r w:rsidRPr="00F209C9">
        <w:t xml:space="preserve">Summary of meeting – </w:t>
      </w:r>
      <w:r>
        <w:t>6 June</w:t>
      </w:r>
      <w:r w:rsidRPr="00F209C9">
        <w:t xml:space="preserve"> 2013</w:t>
      </w:r>
    </w:p>
    <w:p w:rsidR="00C529E0" w:rsidRPr="00F209C9" w:rsidRDefault="00C529E0" w:rsidP="00B46CAD">
      <w:pPr>
        <w:pStyle w:val="Heading2"/>
      </w:pPr>
      <w:r w:rsidRPr="00F209C9">
        <w:t xml:space="preserve">Economic benchmarking </w:t>
      </w:r>
      <w:r>
        <w:t>applications</w:t>
      </w:r>
    </w:p>
    <w:p w:rsidR="00C529E0" w:rsidRPr="0099520B" w:rsidRDefault="00C529E0" w:rsidP="0099520B">
      <w:pPr>
        <w:pStyle w:val="AERbodytext"/>
      </w:pPr>
      <w:r w:rsidRPr="0099520B">
        <w:t xml:space="preserve">On 6 June 2013, the AER, as part of its Better Regulation package, hosted a working group meeting on the economic benchmarking component of the development of the Expenditure forecast assessment guidelines (the Guidelines). </w:t>
      </w:r>
    </w:p>
    <w:p w:rsidR="00C529E0" w:rsidRPr="0099520B" w:rsidRDefault="00C529E0" w:rsidP="0099520B">
      <w:pPr>
        <w:pStyle w:val="AERbodytext"/>
      </w:pPr>
      <w:r w:rsidRPr="0099520B">
        <w:t>A full attendee list can be found at Attachment A.</w:t>
      </w:r>
    </w:p>
    <w:p w:rsidR="00C529E0" w:rsidRPr="0099520B" w:rsidRDefault="00C529E0" w:rsidP="0099520B">
      <w:pPr>
        <w:pStyle w:val="AERbodytext"/>
      </w:pPr>
      <w:r w:rsidRPr="0099520B">
        <w:t xml:space="preserve">This summary outlines the key topics and themes of the meeting, including views expressed at the meeting, without ascribing particular comments to any one individual or organisation. </w:t>
      </w:r>
    </w:p>
    <w:p w:rsidR="00C529E0" w:rsidRPr="00F209C9" w:rsidRDefault="00C529E0" w:rsidP="00286C62">
      <w:pPr>
        <w:pStyle w:val="Heading2"/>
      </w:pPr>
      <w:r w:rsidRPr="00F209C9">
        <w:t>1</w:t>
      </w:r>
      <w:r w:rsidRPr="00F209C9">
        <w:tab/>
        <w:t>Introductions</w:t>
      </w:r>
    </w:p>
    <w:p w:rsidR="00C529E0" w:rsidRDefault="00C529E0" w:rsidP="00286C62">
      <w:pPr>
        <w:pStyle w:val="AERbodytext"/>
      </w:pPr>
      <w:r>
        <w:t>AER staff noted this this was the AER’s final scheduled workshop of the AER’s consultation on the use of economic benchmarking and the second last workshop of the Guidelines.</w:t>
      </w:r>
    </w:p>
    <w:p w:rsidR="00C529E0" w:rsidRDefault="00C529E0" w:rsidP="00286C62">
      <w:pPr>
        <w:pStyle w:val="AERbodytext"/>
      </w:pPr>
      <w:r>
        <w:t>In this workshop, AER staff sought feedback from stakeholders on issues relating to the application of economic benchmarking of network service providers (NSPs).</w:t>
      </w:r>
    </w:p>
    <w:p w:rsidR="00C529E0" w:rsidRDefault="00C529E0" w:rsidP="00286C62">
      <w:pPr>
        <w:pStyle w:val="AERbodytext"/>
      </w:pPr>
      <w:r>
        <w:t>The AER’s provided an illustrative example of economic benchmarking of hypothetical NSPs’ benchmarked costs, efficiency and rate of change.</w:t>
      </w:r>
    </w:p>
    <w:p w:rsidR="00C529E0" w:rsidRDefault="00C529E0" w:rsidP="00286C62">
      <w:pPr>
        <w:pStyle w:val="AERbodytext"/>
      </w:pPr>
      <w:r>
        <w:t xml:space="preserve">The briefing notes and slides used in the presentation are available at: </w:t>
      </w:r>
      <w:hyperlink r:id="rId9" w:history="1">
        <w:r w:rsidRPr="0079195C">
          <w:rPr>
            <w:rStyle w:val="Hyperlink"/>
          </w:rPr>
          <w:t>http://www.aer.gov.au/node/20627</w:t>
        </w:r>
      </w:hyperlink>
    </w:p>
    <w:p w:rsidR="00C529E0" w:rsidRDefault="00C529E0" w:rsidP="00286C62">
      <w:pPr>
        <w:pStyle w:val="Heading2"/>
      </w:pPr>
      <w:r>
        <w:t>2</w:t>
      </w:r>
      <w:r w:rsidRPr="00F209C9">
        <w:tab/>
      </w:r>
      <w:r>
        <w:t>Major issues for discussion and feedback from the workshop</w:t>
      </w:r>
    </w:p>
    <w:p w:rsidR="00C529E0" w:rsidRDefault="00C529E0" w:rsidP="00286C62">
      <w:pPr>
        <w:pStyle w:val="Heading3"/>
      </w:pPr>
      <w:r>
        <w:t>Weighted average cost of capital</w:t>
      </w:r>
    </w:p>
    <w:p w:rsidR="00C529E0" w:rsidRDefault="00C529E0" w:rsidP="00286C62">
      <w:pPr>
        <w:pStyle w:val="AERbodytext"/>
      </w:pPr>
      <w:r>
        <w:t>A stakeholder asked if the most recent weighted average cost of capital (WACC) would be used for the whole time series.</w:t>
      </w:r>
    </w:p>
    <w:p w:rsidR="00C529E0" w:rsidRDefault="00C529E0" w:rsidP="00286C62">
      <w:pPr>
        <w:pStyle w:val="AERbodytext"/>
      </w:pPr>
      <w:r>
        <w:t>AER staff noted that it would be addressing consistency issues with the WACC.</w:t>
      </w:r>
    </w:p>
    <w:p w:rsidR="00C529E0" w:rsidRDefault="00C529E0" w:rsidP="00286C62">
      <w:pPr>
        <w:pStyle w:val="AERbodytext"/>
      </w:pPr>
      <w:r>
        <w:t>A stakeholder noted that the labour price indices used changed over time but the cost of capital did not.</w:t>
      </w:r>
    </w:p>
    <w:p w:rsidR="00C529E0" w:rsidRDefault="00C529E0" w:rsidP="00286C62">
      <w:pPr>
        <w:pStyle w:val="AERbodytext"/>
      </w:pPr>
      <w:r>
        <w:lastRenderedPageBreak/>
        <w:t>Economic Insights noted that a capital price index was used for capital inputs and this was the equivalent of the labour price index referred to. It was noted that it would be desirable to have the same WACC across time for each regulatory period.</w:t>
      </w:r>
    </w:p>
    <w:p w:rsidR="00C529E0" w:rsidRDefault="00C529E0" w:rsidP="00286C62">
      <w:pPr>
        <w:pStyle w:val="AERbodytext"/>
      </w:pPr>
      <w:r>
        <w:t>A stakeholder noted that the forecasts are a strong function of WACC and a slight change could result in a significant change in forecasts relative to the benchmark. Further, the benchmark WACC did not relate to the forecast WACC.</w:t>
      </w:r>
    </w:p>
    <w:p w:rsidR="00C529E0" w:rsidRPr="00C76F63" w:rsidRDefault="00C529E0" w:rsidP="00286C62">
      <w:pPr>
        <w:pStyle w:val="AERbodytext"/>
      </w:pPr>
      <w:r>
        <w:t>AER staff considered the WACC is the one that is applicable to the business’s proposal and the same WACC would be used in calculating both the NSP’s forecast total cost and the benchmark total cost.</w:t>
      </w:r>
    </w:p>
    <w:p w:rsidR="00C529E0" w:rsidRDefault="00C529E0" w:rsidP="00286C62">
      <w:pPr>
        <w:pStyle w:val="Heading3"/>
      </w:pPr>
      <w:r>
        <w:t>Model application</w:t>
      </w:r>
    </w:p>
    <w:p w:rsidR="00C529E0" w:rsidRDefault="00C529E0" w:rsidP="00286C62">
      <w:pPr>
        <w:pStyle w:val="AERbodytext"/>
      </w:pPr>
      <w:r>
        <w:t>A stakeholder asked if the total expenditure model won’t be used until more data is available.</w:t>
      </w:r>
    </w:p>
    <w:p w:rsidR="00C529E0" w:rsidRDefault="00C529E0" w:rsidP="00286C62">
      <w:pPr>
        <w:pStyle w:val="AERbodytext"/>
      </w:pPr>
      <w:r>
        <w:t xml:space="preserve">AER staff noted that this model will be used with </w:t>
      </w:r>
      <w:proofErr w:type="spellStart"/>
      <w:r>
        <w:t>backcast</w:t>
      </w:r>
      <w:proofErr w:type="spellEnd"/>
      <w:r>
        <w:t xml:space="preserve"> data.</w:t>
      </w:r>
    </w:p>
    <w:p w:rsidR="00C529E0" w:rsidRDefault="00C529E0" w:rsidP="00286C62">
      <w:pPr>
        <w:pStyle w:val="AERbodytext"/>
      </w:pPr>
      <w:r>
        <w:t>Stakeholders asked if there will be an adjustment for environmental factors and when will they be able to see how environmental factors will be taken into account?</w:t>
      </w:r>
    </w:p>
    <w:p w:rsidR="00C529E0" w:rsidRDefault="00C529E0" w:rsidP="00286C62">
      <w:pPr>
        <w:pStyle w:val="AERbodytext"/>
      </w:pPr>
      <w:r>
        <w:t>AER staff noted for this illustrative model, environmental factors were not taken into account because the hypothetical NSPs had similar characteristics. Environmental factors will be considered in the testing and validation process and can be modelled using a second stage regression.</w:t>
      </w:r>
    </w:p>
    <w:p w:rsidR="00C529E0" w:rsidRDefault="00C529E0" w:rsidP="00286C62">
      <w:pPr>
        <w:pStyle w:val="AERbodytext"/>
      </w:pPr>
      <w:r>
        <w:t xml:space="preserve">A stakeholder asked how the correlation between operating environment factors and efficiency </w:t>
      </w:r>
      <w:proofErr w:type="gramStart"/>
      <w:r>
        <w:t>be</w:t>
      </w:r>
      <w:proofErr w:type="gramEnd"/>
      <w:r>
        <w:t xml:space="preserve"> taken into account. For example if by chance an NSP was affected by a weather variable and the NSP is more efficient, the NSP’s efficiency may be attributed to hot weather.</w:t>
      </w:r>
    </w:p>
    <w:p w:rsidR="00C529E0" w:rsidRDefault="00C529E0" w:rsidP="00286C62">
      <w:pPr>
        <w:pStyle w:val="AERbodytext"/>
      </w:pPr>
      <w:r>
        <w:t xml:space="preserve">AER staff noted that </w:t>
      </w:r>
      <w:proofErr w:type="spellStart"/>
      <w:r>
        <w:t>multicollinearity</w:t>
      </w:r>
      <w:proofErr w:type="spellEnd"/>
      <w:r>
        <w:t xml:space="preserve"> between explanatory variables was not a problem for efficiency prediction purposes, and raw efficiency scores that may relate to exogenous factors can be adjusted to derive pure efficiency scores in the second-stage regression analysis. This will also be taken into account in the selection of environmental factors which will be part of consultation in the model testing and validation process.</w:t>
      </w:r>
    </w:p>
    <w:p w:rsidR="00C529E0" w:rsidRDefault="00C529E0" w:rsidP="00286C62">
      <w:pPr>
        <w:pStyle w:val="AERbodytext"/>
      </w:pPr>
      <w:r>
        <w:t>A stakeholder asked why there is a twenty year adjustment period for capital efficiency.</w:t>
      </w:r>
    </w:p>
    <w:p w:rsidR="00C529E0" w:rsidRDefault="00C529E0" w:rsidP="00286C62">
      <w:pPr>
        <w:pStyle w:val="AERbodytext"/>
      </w:pPr>
      <w:r>
        <w:t>AER staff noted that twenty years was used for illustrative purposes in the model.  It was noted that this would be considered further in consultation on economic benchmarking.</w:t>
      </w:r>
    </w:p>
    <w:p w:rsidR="00C529E0" w:rsidRDefault="00C529E0" w:rsidP="00286C62">
      <w:pPr>
        <w:pStyle w:val="AERbodytext"/>
      </w:pPr>
      <w:r>
        <w:t>AER staff asked what the appropriate time frame would be for long term adjustments.</w:t>
      </w:r>
    </w:p>
    <w:p w:rsidR="00C529E0" w:rsidRDefault="00C529E0" w:rsidP="00286C62">
      <w:pPr>
        <w:pStyle w:val="AERbodytext"/>
      </w:pPr>
      <w:r>
        <w:t>Stakeholders noted that it would depend on the business and they would not expect a blanket rate.</w:t>
      </w:r>
    </w:p>
    <w:p w:rsidR="00C529E0" w:rsidRDefault="00C529E0" w:rsidP="00286C62">
      <w:pPr>
        <w:pStyle w:val="AERbodytext"/>
      </w:pPr>
      <w:r>
        <w:t>AER staff noted that at some point assets would be replaced and it was unrealistic to assume an NSP would have no capital efficiency improvements.</w:t>
      </w:r>
    </w:p>
    <w:p w:rsidR="00C529E0" w:rsidRDefault="00C529E0" w:rsidP="006C0A57">
      <w:pPr>
        <w:pStyle w:val="AERbodytext"/>
      </w:pPr>
      <w:r>
        <w:t>Stakeholders also noted that change happens incrementally through tools such as RIT-Ts</w:t>
      </w:r>
      <w:r w:rsidR="00B04775">
        <w:t>. Through these tools it is difficult to justify moving to the optimal level of capital because of economic considerations</w:t>
      </w:r>
      <w:r w:rsidR="006C0A57">
        <w:t>.</w:t>
      </w:r>
    </w:p>
    <w:p w:rsidR="00C529E0" w:rsidRDefault="00C529E0" w:rsidP="00286C62">
      <w:pPr>
        <w:pStyle w:val="AERbodytext"/>
      </w:pPr>
      <w:r>
        <w:t>AER staff noted that it was not comparing performance against an optimal network and that all comparator NSPs also have long lived assets.</w:t>
      </w:r>
    </w:p>
    <w:p w:rsidR="00C529E0" w:rsidRDefault="00C529E0" w:rsidP="00286C62">
      <w:pPr>
        <w:pStyle w:val="AERbodytext"/>
      </w:pPr>
      <w:r>
        <w:lastRenderedPageBreak/>
        <w:t>A stakeholder asked if the average productivity gain would be applied as those at the frontier may not be able to achieve the average.</w:t>
      </w:r>
    </w:p>
    <w:p w:rsidR="00C529E0" w:rsidRDefault="00C529E0" w:rsidP="00286C62">
      <w:pPr>
        <w:pStyle w:val="AERbodytext"/>
      </w:pPr>
      <w:r>
        <w:t>Other stakeholders noted that for NSPs where the average is not appropriate the trend industry average should be removed from the forecast.</w:t>
      </w:r>
    </w:p>
    <w:p w:rsidR="00C529E0" w:rsidRDefault="00C529E0" w:rsidP="00286C62">
      <w:pPr>
        <w:pStyle w:val="AERbodytext"/>
      </w:pPr>
      <w:r>
        <w:t>AER staff noted that this may depend on the scope for future productivity gains.</w:t>
      </w:r>
    </w:p>
    <w:p w:rsidR="006C0A57" w:rsidRDefault="006C0A57" w:rsidP="006C0A57">
      <w:pPr>
        <w:pStyle w:val="AERbodytext"/>
      </w:pPr>
      <w:r>
        <w:t>A stakeholder raised the observation that the proposed productivity gains include both scale efficiencies and management-led efficiencies. The imposition of management-led efficiencies in an expenditure forecast would mean that these efficiencies may not be rewarded under the EBSS, and a NSP could face a situation where despite management-led efficiency gains it could actually result in a penalty under the EBSS. The stakeholder put the perspective that this is not in line with Rules 6.5.8(b</w:t>
      </w:r>
      <w:proofErr w:type="gramStart"/>
      <w:r>
        <w:t>)(</w:t>
      </w:r>
      <w:proofErr w:type="gramEnd"/>
      <w:r>
        <w:t>3) or 6A.6.5(b)(2). AER staff noted that</w:t>
      </w:r>
      <w:r w:rsidR="00B04775">
        <w:t xml:space="preserve"> forecasts should be for efficient costs and</w:t>
      </w:r>
      <w:r>
        <w:t xml:space="preserve"> NSPs should only be rewarded for greater than forecast efficiency gains.</w:t>
      </w:r>
    </w:p>
    <w:p w:rsidR="00C529E0" w:rsidRDefault="00C529E0" w:rsidP="00286C62">
      <w:pPr>
        <w:pStyle w:val="AERbodytext"/>
      </w:pPr>
      <w:r>
        <w:t>A stakeholder noted consumers should not bear the costs for inefficient NSPs that are lagging behind.</w:t>
      </w:r>
    </w:p>
    <w:p w:rsidR="00C529E0" w:rsidRDefault="00C529E0" w:rsidP="00286C62">
      <w:pPr>
        <w:pStyle w:val="AERbodytext"/>
      </w:pPr>
      <w:r>
        <w:t>A stakeholder noted that the model did not appear to be intended for use at the framework and approach stage.</w:t>
      </w:r>
    </w:p>
    <w:p w:rsidR="00C529E0" w:rsidRDefault="00C529E0" w:rsidP="00286C62">
      <w:pPr>
        <w:pStyle w:val="AERbodytext"/>
      </w:pPr>
      <w:r>
        <w:t>AER staff noted that this will be done at the issues paper stage and were seeking guidance on this view.</w:t>
      </w:r>
    </w:p>
    <w:p w:rsidR="00C529E0" w:rsidRDefault="00C529E0" w:rsidP="00286C62">
      <w:pPr>
        <w:pStyle w:val="AERbodytext"/>
      </w:pPr>
      <w:r>
        <w:t>A stakeholder asked if it was possible to have a forecast that was too low.</w:t>
      </w:r>
    </w:p>
    <w:p w:rsidR="00C529E0" w:rsidRDefault="00C529E0" w:rsidP="00286C62">
      <w:pPr>
        <w:pStyle w:val="AERbodytext"/>
      </w:pPr>
      <w:r>
        <w:t>AER staff noted that asset health is looked at to see if there is sufficient expenditure and leading indicators can assist in this assessment.</w:t>
      </w:r>
    </w:p>
    <w:p w:rsidR="00C529E0" w:rsidRDefault="00C529E0" w:rsidP="00286C62">
      <w:pPr>
        <w:pStyle w:val="AERbodytext"/>
      </w:pPr>
      <w:r>
        <w:t>Stakeholders noted that process would make incentives more complicated.</w:t>
      </w:r>
    </w:p>
    <w:p w:rsidR="00C529E0" w:rsidRDefault="00C529E0" w:rsidP="00286C62">
      <w:pPr>
        <w:pStyle w:val="Heading3"/>
      </w:pPr>
      <w:r>
        <w:t>Opex model</w:t>
      </w:r>
    </w:p>
    <w:p w:rsidR="00C529E0" w:rsidRDefault="00C529E0" w:rsidP="00286C62">
      <w:pPr>
        <w:pStyle w:val="AERbodytext"/>
      </w:pPr>
      <w:r>
        <w:t>A stakeholder asked how productivity has been calculated for opex.</w:t>
      </w:r>
    </w:p>
    <w:p w:rsidR="00C529E0" w:rsidRDefault="00C529E0" w:rsidP="00286C62">
      <w:pPr>
        <w:pStyle w:val="AERbodytext"/>
      </w:pPr>
      <w:r>
        <w:t xml:space="preserve">AER staff noted that this method is the same as the Economic Insights methodology prepared for SP </w:t>
      </w:r>
      <w:proofErr w:type="spellStart"/>
      <w:r>
        <w:t>AusNet</w:t>
      </w:r>
      <w:proofErr w:type="spellEnd"/>
      <w:r>
        <w:t xml:space="preserve"> and uses forecasts of the NSP’s future output changes and operating environment changes.</w:t>
      </w:r>
    </w:p>
    <w:p w:rsidR="00C529E0" w:rsidRDefault="00C529E0" w:rsidP="00286C62">
      <w:pPr>
        <w:pStyle w:val="AERbodytext"/>
      </w:pPr>
      <w:r>
        <w:t xml:space="preserve">A stakeholder noted that there may have been issues in the use of labour price changes for the SP </w:t>
      </w:r>
      <w:proofErr w:type="spellStart"/>
      <w:r>
        <w:t>AusNet</w:t>
      </w:r>
      <w:proofErr w:type="spellEnd"/>
      <w:r>
        <w:t xml:space="preserve"> gas decision. AER staff noted that the approach adopted had been consistent with the framework proposed by Economic Insights.</w:t>
      </w:r>
    </w:p>
    <w:p w:rsidR="00C529E0" w:rsidRDefault="00C529E0" w:rsidP="00286C62">
      <w:pPr>
        <w:pStyle w:val="AERbodytext"/>
      </w:pPr>
      <w:r>
        <w:t>Economic Insights noted that adopting a consistent opex partial productivity index for historical and forecast data is the appropriate method and preferable to macro-based adjustments to the labour price index.</w:t>
      </w:r>
    </w:p>
    <w:p w:rsidR="00C529E0" w:rsidRDefault="00C529E0" w:rsidP="00286C62">
      <w:pPr>
        <w:pStyle w:val="AERbodytext"/>
      </w:pPr>
      <w:r>
        <w:t>AER staff noted that the wage price index (WPI) was used for consistency with the underlying data used in the model.</w:t>
      </w:r>
    </w:p>
    <w:p w:rsidR="00C529E0" w:rsidRPr="0025061B" w:rsidRDefault="00C529E0" w:rsidP="00286C62">
      <w:pPr>
        <w:pStyle w:val="AERbodytext"/>
      </w:pPr>
      <w:r>
        <w:t>Stakeholders noted that a list of variables that affect opex specifically can be provided.</w:t>
      </w:r>
    </w:p>
    <w:p w:rsidR="00C529E0" w:rsidRDefault="00C529E0" w:rsidP="00286C62">
      <w:pPr>
        <w:pStyle w:val="Heading3"/>
      </w:pPr>
      <w:r>
        <w:lastRenderedPageBreak/>
        <w:t>Data and testing</w:t>
      </w:r>
    </w:p>
    <w:p w:rsidR="00C529E0" w:rsidRDefault="00C529E0" w:rsidP="00286C62">
      <w:pPr>
        <w:pStyle w:val="AERbodytext"/>
      </w:pPr>
      <w:r>
        <w:t>A stakeholder asked if these statistical methods are more efficient than current expenditure review methods.</w:t>
      </w:r>
    </w:p>
    <w:p w:rsidR="00C529E0" w:rsidRDefault="00C529E0" w:rsidP="00286C62">
      <w:pPr>
        <w:pStyle w:val="AERbodytext"/>
      </w:pPr>
      <w:r>
        <w:t>AER staff noted that having these results will be helpful to get a high level view of efficiency in assessing expenditure proposals.</w:t>
      </w:r>
    </w:p>
    <w:p w:rsidR="00C529E0" w:rsidRDefault="00C529E0" w:rsidP="00286C62">
      <w:pPr>
        <w:pStyle w:val="AERbodytext"/>
      </w:pPr>
      <w:r>
        <w:t>A stakeholder noted that if its planning was considered prudent but the TFP analysis indicated that it was 20% inefficient what would they have to do and would the error margin around the results be 20%?</w:t>
      </w:r>
    </w:p>
    <w:p w:rsidR="00C529E0" w:rsidRDefault="00C529E0" w:rsidP="00286C62">
      <w:pPr>
        <w:pStyle w:val="AERbodytext"/>
      </w:pPr>
      <w:r>
        <w:t>AER staff noted that there was imprecision in all assessment methodologies and an understanding of the error was required. If there are reports on efficient expenditure from other assessment processes such as RIT-Ts, these cannot be ignored and show that the future may be significantly different to the past.</w:t>
      </w:r>
    </w:p>
    <w:p w:rsidR="00C529E0" w:rsidRDefault="00C529E0" w:rsidP="00286C62">
      <w:pPr>
        <w:pStyle w:val="AERbodytext"/>
      </w:pPr>
      <w:r>
        <w:t>A stakeholder noted that ultimately consumers are paying for the cost of collecting data that may not be used if the weight applied to economic benchmarking was low.</w:t>
      </w:r>
    </w:p>
    <w:p w:rsidR="00C529E0" w:rsidRDefault="00C529E0" w:rsidP="00286C62">
      <w:pPr>
        <w:pStyle w:val="AERbodytext"/>
      </w:pPr>
      <w:r>
        <w:t xml:space="preserve">AER staff noted that it was important to take into account the data available and the robustness of the models in applying economic benchmarking. </w:t>
      </w:r>
    </w:p>
    <w:p w:rsidR="00C529E0" w:rsidRDefault="00C529E0" w:rsidP="00286C62">
      <w:pPr>
        <w:pStyle w:val="AERbodytext"/>
      </w:pPr>
      <w:r>
        <w:t>A stakeholder asked how difficult operating environment conditions would be taken into account and, to the extent that it is quantifiable in a chart, this should be used rather than editorial notes when presenting economic benchmarking results.</w:t>
      </w:r>
    </w:p>
    <w:p w:rsidR="00C529E0" w:rsidRDefault="00C529E0" w:rsidP="00286C62">
      <w:pPr>
        <w:pStyle w:val="AERbodytext"/>
      </w:pPr>
      <w:r>
        <w:t xml:space="preserve">Stakeholders noted that internal data may be suitable for planning but it may not have been audited and that an auditing requirement may present a difficult high data quality hurdle for </w:t>
      </w:r>
      <w:proofErr w:type="spellStart"/>
      <w:r>
        <w:t>backcasting</w:t>
      </w:r>
      <w:proofErr w:type="spellEnd"/>
      <w:r>
        <w:t xml:space="preserve">. Stakeholders also noted that to obtain Director </w:t>
      </w:r>
      <w:proofErr w:type="gramStart"/>
      <w:r>
        <w:t>sign</w:t>
      </w:r>
      <w:proofErr w:type="gramEnd"/>
      <w:r>
        <w:t xml:space="preserve"> off on the quality of the data may impact on the length of time required to fulfil the AER’s data requirements.</w:t>
      </w:r>
    </w:p>
    <w:p w:rsidR="00C529E0" w:rsidRDefault="00C529E0" w:rsidP="00286C62">
      <w:pPr>
        <w:pStyle w:val="AERbodytext"/>
      </w:pPr>
      <w:r>
        <w:t xml:space="preserve">AER staff noted that there may be different requirements for </w:t>
      </w:r>
      <w:proofErr w:type="spellStart"/>
      <w:r>
        <w:t>backcast</w:t>
      </w:r>
      <w:proofErr w:type="spellEnd"/>
      <w:r>
        <w:t xml:space="preserve"> data compared to ongoing data requirements.</w:t>
      </w:r>
    </w:p>
    <w:p w:rsidR="00C529E0" w:rsidRDefault="00C529E0" w:rsidP="00286C62">
      <w:pPr>
        <w:pStyle w:val="AERbodytext"/>
      </w:pPr>
      <w:r>
        <w:t xml:space="preserve">A stakeholder noted that imperfect data can still be useable. Another stakeholder noted that using poor quality data would undermine the quality of the benchmarking analysis and therefore the reliability and confidence in the benchmarking results which would to some degree be relied upon by the AER in the revenue determination process. </w:t>
      </w:r>
    </w:p>
    <w:p w:rsidR="00C529E0" w:rsidRDefault="00C529E0" w:rsidP="00286C62">
      <w:pPr>
        <w:pStyle w:val="AERbodytext"/>
      </w:pPr>
      <w:r>
        <w:t>Stakeholders noted that there were concerns about obtaining physical data and that it would be helpful if this data wasn’t to be submitted at the same time as the RIN.</w:t>
      </w:r>
    </w:p>
    <w:p w:rsidR="00C529E0" w:rsidRDefault="00C529E0" w:rsidP="00286C62">
      <w:pPr>
        <w:pStyle w:val="AERbodytext"/>
      </w:pPr>
      <w:r>
        <w:t xml:space="preserve">AER staff noted that ideally data would be provided early next year however at this stage the exact timing for the data is uncertain. </w:t>
      </w:r>
    </w:p>
    <w:p w:rsidR="00C529E0" w:rsidRDefault="00C529E0" w:rsidP="00286C62">
      <w:pPr>
        <w:pStyle w:val="AERbodytext"/>
      </w:pPr>
      <w:r>
        <w:t>AER staff noted that it intended to release data requirements before the draft guidelines and the next template would reflect workshop feedback.</w:t>
      </w:r>
    </w:p>
    <w:p w:rsidR="00C529E0" w:rsidRDefault="00C529E0" w:rsidP="00286C62">
      <w:pPr>
        <w:pStyle w:val="AERbodytext"/>
      </w:pPr>
      <w:r>
        <w:t>A stakeholder asked if data testing for NSW would occur at the same time and if it would include a projection.</w:t>
      </w:r>
    </w:p>
    <w:p w:rsidR="00C529E0" w:rsidRDefault="00C529E0" w:rsidP="00286C62">
      <w:pPr>
        <w:pStyle w:val="AERbodytext"/>
      </w:pPr>
      <w:r>
        <w:lastRenderedPageBreak/>
        <w:t>AER staff noted that it would be good to estimate a projected TFP at the regulatory proposal stage and that the AER would try to complete the testing and validation process prior to the lodgement of these proposals.</w:t>
      </w:r>
    </w:p>
    <w:p w:rsidR="00C529E0" w:rsidRDefault="00C529E0" w:rsidP="00286C62">
      <w:pPr>
        <w:pStyle w:val="AERbodytext"/>
      </w:pPr>
      <w:r>
        <w:t>Stakeholders noted that before the first economic benchmarking report is published, the data validation process should be consulted on to allow for peer review.</w:t>
      </w:r>
    </w:p>
    <w:p w:rsidR="00C529E0" w:rsidRDefault="00C529E0" w:rsidP="00286C62">
      <w:pPr>
        <w:pStyle w:val="AERbodytext"/>
      </w:pPr>
      <w:r>
        <w:t>AER staff noted the importance for all stakeholders to get the data set and asked if there was likely to be any confidentiality issues.</w:t>
      </w:r>
    </w:p>
    <w:p w:rsidR="00C529E0" w:rsidRDefault="00C529E0" w:rsidP="00286C62">
      <w:pPr>
        <w:pStyle w:val="AERbodytext"/>
      </w:pPr>
      <w:r>
        <w:t>Stakeholders noted that there did not appear to be any and expressed a preference for all data used in economic benchmarking to be available to all stakeholders.</w:t>
      </w:r>
    </w:p>
    <w:p w:rsidR="00C529E0" w:rsidRPr="001934EC" w:rsidRDefault="00C529E0" w:rsidP="00286C62">
      <w:pPr>
        <w:pStyle w:val="Heading2"/>
      </w:pPr>
      <w:r>
        <w:br w:type="page"/>
      </w:r>
      <w:r w:rsidRPr="001934EC">
        <w:lastRenderedPageBreak/>
        <w:t>Attachment A</w:t>
      </w:r>
      <w:r>
        <w:t xml:space="preserve">: </w:t>
      </w:r>
      <w:r w:rsidRPr="001934EC">
        <w:t>Attendee list</w:t>
      </w:r>
    </w:p>
    <w:p w:rsidR="00C529E0" w:rsidRPr="001934EC" w:rsidRDefault="00C529E0" w:rsidP="00B46CAD">
      <w:pPr>
        <w:pStyle w:val="Heading3"/>
      </w:pPr>
      <w:r w:rsidRPr="001934EC">
        <w:t xml:space="preserve">Melbourne </w:t>
      </w:r>
      <w:r>
        <w:t>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686"/>
      </w:tblGrid>
      <w:tr w:rsidR="00C529E0" w:rsidRPr="00C328B4" w:rsidTr="00E83525">
        <w:trPr>
          <w:trHeight w:val="300"/>
        </w:trPr>
        <w:tc>
          <w:tcPr>
            <w:tcW w:w="2422" w:type="dxa"/>
            <w:noWrap/>
            <w:vAlign w:val="bottom"/>
          </w:tcPr>
          <w:p w:rsidR="00C529E0" w:rsidRPr="00C328B4" w:rsidRDefault="00C529E0" w:rsidP="00E83525">
            <w:pPr>
              <w:spacing w:after="0" w:line="240" w:lineRule="auto"/>
              <w:rPr>
                <w:b/>
                <w:color w:val="000000"/>
                <w:lang w:eastAsia="en-AU"/>
              </w:rPr>
            </w:pPr>
            <w:r w:rsidRPr="00C328B4">
              <w:rPr>
                <w:b/>
                <w:color w:val="000000"/>
                <w:lang w:eastAsia="en-AU"/>
              </w:rPr>
              <w:t>Name</w:t>
            </w:r>
          </w:p>
        </w:tc>
        <w:tc>
          <w:tcPr>
            <w:tcW w:w="3686" w:type="dxa"/>
            <w:noWrap/>
            <w:vAlign w:val="bottom"/>
          </w:tcPr>
          <w:p w:rsidR="00C529E0" w:rsidRPr="00C328B4" w:rsidRDefault="00C529E0" w:rsidP="00E83525">
            <w:pPr>
              <w:spacing w:after="0" w:line="240" w:lineRule="auto"/>
              <w:ind w:right="-825"/>
              <w:rPr>
                <w:b/>
                <w:color w:val="000000"/>
                <w:lang w:eastAsia="en-AU"/>
              </w:rPr>
            </w:pPr>
            <w:r w:rsidRPr="00C328B4">
              <w:rPr>
                <w:b/>
                <w:color w:val="000000"/>
                <w:lang w:eastAsia="en-AU"/>
              </w:rPr>
              <w:t>Organisation</w:t>
            </w:r>
          </w:p>
        </w:tc>
      </w:tr>
      <w:tr w:rsidR="00C529E0" w:rsidRPr="00C328B4" w:rsidTr="00E83525">
        <w:trPr>
          <w:trHeight w:val="300"/>
        </w:trPr>
        <w:tc>
          <w:tcPr>
            <w:tcW w:w="2422" w:type="dxa"/>
            <w:noWrap/>
            <w:vAlign w:val="bottom"/>
          </w:tcPr>
          <w:p w:rsidR="00C529E0" w:rsidRPr="00C328B4" w:rsidRDefault="00C529E0" w:rsidP="001F3678">
            <w:pPr>
              <w:spacing w:after="0" w:line="240" w:lineRule="auto"/>
              <w:rPr>
                <w:color w:val="000000"/>
                <w:lang w:eastAsia="en-AU"/>
              </w:rPr>
            </w:pPr>
            <w:r w:rsidRPr="00163919">
              <w:rPr>
                <w:color w:val="000000"/>
                <w:lang w:eastAsia="en-AU"/>
              </w:rPr>
              <w:t>Andrew Kingsmill</w:t>
            </w:r>
          </w:p>
        </w:tc>
        <w:tc>
          <w:tcPr>
            <w:tcW w:w="3686" w:type="dxa"/>
            <w:noWrap/>
            <w:vAlign w:val="bottom"/>
          </w:tcPr>
          <w:p w:rsidR="00C529E0" w:rsidRPr="00C328B4" w:rsidRDefault="00C529E0" w:rsidP="001F3678">
            <w:pPr>
              <w:spacing w:after="0" w:line="240" w:lineRule="auto"/>
              <w:rPr>
                <w:color w:val="000000"/>
                <w:lang w:eastAsia="en-AU"/>
              </w:rPr>
            </w:pPr>
            <w:r w:rsidRPr="00163919">
              <w:rPr>
                <w:color w:val="000000"/>
                <w:lang w:eastAsia="en-AU"/>
              </w:rPr>
              <w:t>TransGrid</w:t>
            </w:r>
          </w:p>
        </w:tc>
      </w:tr>
      <w:tr w:rsidR="00C529E0" w:rsidRPr="00C328B4" w:rsidTr="00E83525">
        <w:trPr>
          <w:trHeight w:val="300"/>
        </w:trPr>
        <w:tc>
          <w:tcPr>
            <w:tcW w:w="2422" w:type="dxa"/>
            <w:noWrap/>
            <w:vAlign w:val="bottom"/>
          </w:tcPr>
          <w:p w:rsidR="00C529E0" w:rsidRPr="00282E52" w:rsidRDefault="00C529E0" w:rsidP="001F3678">
            <w:pPr>
              <w:spacing w:after="0" w:line="240" w:lineRule="auto"/>
              <w:rPr>
                <w:color w:val="000000"/>
                <w:lang w:eastAsia="en-AU"/>
              </w:rPr>
            </w:pPr>
            <w:r w:rsidRPr="00163919">
              <w:rPr>
                <w:color w:val="000000"/>
                <w:lang w:eastAsia="en-AU"/>
              </w:rPr>
              <w:t>Anh Mai</w:t>
            </w:r>
          </w:p>
        </w:tc>
        <w:tc>
          <w:tcPr>
            <w:tcW w:w="3686" w:type="dxa"/>
            <w:noWrap/>
            <w:vAlign w:val="bottom"/>
          </w:tcPr>
          <w:p w:rsidR="00C529E0" w:rsidRPr="00282E52" w:rsidRDefault="00C529E0" w:rsidP="001F3678">
            <w:pPr>
              <w:spacing w:after="0" w:line="240" w:lineRule="auto"/>
              <w:rPr>
                <w:color w:val="000000"/>
                <w:lang w:eastAsia="en-AU"/>
              </w:rPr>
            </w:pPr>
            <w:r w:rsidRPr="00163919">
              <w:rPr>
                <w:color w:val="000000"/>
                <w:lang w:eastAsia="en-AU"/>
              </w:rPr>
              <w:t xml:space="preserve">SP </w:t>
            </w:r>
            <w:proofErr w:type="spellStart"/>
            <w:r w:rsidRPr="00163919">
              <w:rPr>
                <w:color w:val="000000"/>
                <w:lang w:eastAsia="en-AU"/>
              </w:rPr>
              <w:t>AusNet</w:t>
            </w:r>
            <w:proofErr w:type="spellEnd"/>
          </w:p>
        </w:tc>
      </w:tr>
      <w:tr w:rsidR="00C529E0" w:rsidRPr="00C328B4" w:rsidTr="00E83525">
        <w:trPr>
          <w:trHeight w:val="300"/>
        </w:trPr>
        <w:tc>
          <w:tcPr>
            <w:tcW w:w="2422" w:type="dxa"/>
            <w:noWrap/>
            <w:vAlign w:val="bottom"/>
          </w:tcPr>
          <w:p w:rsidR="00C529E0" w:rsidRPr="005C3828" w:rsidRDefault="00C529E0" w:rsidP="001F3678">
            <w:pPr>
              <w:spacing w:after="0" w:line="240" w:lineRule="auto"/>
              <w:rPr>
                <w:color w:val="000000"/>
                <w:lang w:eastAsia="en-AU"/>
              </w:rPr>
            </w:pPr>
            <w:r w:rsidRPr="00163919">
              <w:rPr>
                <w:color w:val="000000"/>
                <w:lang w:eastAsia="en-AU"/>
              </w:rPr>
              <w:t>Bill Jackson</w:t>
            </w:r>
          </w:p>
        </w:tc>
        <w:tc>
          <w:tcPr>
            <w:tcW w:w="3686" w:type="dxa"/>
            <w:noWrap/>
            <w:vAlign w:val="bottom"/>
          </w:tcPr>
          <w:p w:rsidR="00C529E0" w:rsidRPr="005C3828" w:rsidRDefault="00C529E0" w:rsidP="001F3678">
            <w:pPr>
              <w:spacing w:after="0" w:line="240" w:lineRule="auto"/>
              <w:rPr>
                <w:color w:val="000000"/>
                <w:lang w:eastAsia="en-AU"/>
              </w:rPr>
            </w:pPr>
            <w:proofErr w:type="spellStart"/>
            <w:r w:rsidRPr="00163919">
              <w:rPr>
                <w:color w:val="000000"/>
                <w:lang w:eastAsia="en-AU"/>
              </w:rPr>
              <w:t>ElectraNet</w:t>
            </w:r>
            <w:proofErr w:type="spellEnd"/>
          </w:p>
        </w:tc>
      </w:tr>
      <w:tr w:rsidR="00C529E0" w:rsidRPr="00C328B4" w:rsidTr="00E83525">
        <w:trPr>
          <w:trHeight w:val="300"/>
        </w:trPr>
        <w:tc>
          <w:tcPr>
            <w:tcW w:w="2422" w:type="dxa"/>
            <w:noWrap/>
            <w:vAlign w:val="bottom"/>
          </w:tcPr>
          <w:p w:rsidR="00C529E0" w:rsidRPr="00282E52" w:rsidRDefault="00C529E0" w:rsidP="001F3678">
            <w:pPr>
              <w:spacing w:after="0" w:line="240" w:lineRule="auto"/>
              <w:rPr>
                <w:color w:val="000000"/>
                <w:lang w:eastAsia="en-AU"/>
              </w:rPr>
            </w:pPr>
            <w:r w:rsidRPr="00163919">
              <w:rPr>
                <w:color w:val="000000"/>
                <w:lang w:eastAsia="en-AU"/>
              </w:rPr>
              <w:t>Bruce Mountain</w:t>
            </w:r>
          </w:p>
        </w:tc>
        <w:tc>
          <w:tcPr>
            <w:tcW w:w="3686" w:type="dxa"/>
            <w:noWrap/>
            <w:vAlign w:val="bottom"/>
          </w:tcPr>
          <w:p w:rsidR="00C529E0" w:rsidRPr="00282E52" w:rsidRDefault="00C529E0" w:rsidP="001F3678">
            <w:pPr>
              <w:spacing w:after="0" w:line="240" w:lineRule="auto"/>
              <w:rPr>
                <w:color w:val="000000"/>
                <w:lang w:eastAsia="en-AU"/>
              </w:rPr>
            </w:pPr>
            <w:r w:rsidRPr="00163919">
              <w:rPr>
                <w:color w:val="000000"/>
                <w:lang w:eastAsia="en-AU"/>
              </w:rPr>
              <w:t>CME</w:t>
            </w:r>
          </w:p>
        </w:tc>
      </w:tr>
      <w:tr w:rsidR="00C529E0" w:rsidRPr="00C328B4" w:rsidTr="00E83525">
        <w:trPr>
          <w:trHeight w:val="300"/>
        </w:trPr>
        <w:tc>
          <w:tcPr>
            <w:tcW w:w="2422" w:type="dxa"/>
            <w:noWrap/>
            <w:vAlign w:val="bottom"/>
          </w:tcPr>
          <w:p w:rsidR="00C529E0" w:rsidRPr="00282E52" w:rsidRDefault="00C529E0" w:rsidP="001F3678">
            <w:pPr>
              <w:spacing w:after="0" w:line="240" w:lineRule="auto"/>
              <w:rPr>
                <w:color w:val="000000"/>
                <w:lang w:eastAsia="en-AU"/>
              </w:rPr>
            </w:pPr>
            <w:r w:rsidRPr="00163919">
              <w:rPr>
                <w:color w:val="000000"/>
                <w:lang w:eastAsia="en-AU"/>
              </w:rPr>
              <w:t>Damien O’Connor</w:t>
            </w:r>
          </w:p>
        </w:tc>
        <w:tc>
          <w:tcPr>
            <w:tcW w:w="3686" w:type="dxa"/>
            <w:noWrap/>
            <w:vAlign w:val="bottom"/>
          </w:tcPr>
          <w:p w:rsidR="00C529E0" w:rsidRPr="00282E52" w:rsidRDefault="00C529E0" w:rsidP="001F3678">
            <w:pPr>
              <w:spacing w:after="0" w:line="240" w:lineRule="auto"/>
              <w:rPr>
                <w:color w:val="000000"/>
                <w:lang w:eastAsia="en-AU"/>
              </w:rPr>
            </w:pPr>
            <w:r w:rsidRPr="00163919">
              <w:rPr>
                <w:color w:val="000000"/>
                <w:lang w:eastAsia="en-AU"/>
              </w:rPr>
              <w:t>SA Power Networks</w:t>
            </w:r>
          </w:p>
        </w:tc>
      </w:tr>
      <w:tr w:rsidR="00C529E0" w:rsidRPr="00C328B4" w:rsidTr="00E83525">
        <w:trPr>
          <w:trHeight w:val="300"/>
        </w:trPr>
        <w:tc>
          <w:tcPr>
            <w:tcW w:w="2422" w:type="dxa"/>
            <w:noWrap/>
            <w:vAlign w:val="bottom"/>
          </w:tcPr>
          <w:p w:rsidR="00C529E0" w:rsidRPr="008811DE" w:rsidRDefault="00C529E0" w:rsidP="001F3678">
            <w:pPr>
              <w:spacing w:after="0" w:line="240" w:lineRule="auto"/>
              <w:rPr>
                <w:color w:val="000000"/>
                <w:lang w:eastAsia="en-AU"/>
              </w:rPr>
            </w:pPr>
            <w:r w:rsidRPr="00163919">
              <w:rPr>
                <w:color w:val="000000"/>
                <w:lang w:eastAsia="en-AU"/>
              </w:rPr>
              <w:t xml:space="preserve">Guy </w:t>
            </w:r>
            <w:proofErr w:type="spellStart"/>
            <w:r w:rsidRPr="00163919">
              <w:rPr>
                <w:color w:val="000000"/>
                <w:lang w:eastAsia="en-AU"/>
              </w:rPr>
              <w:t>Mutasa</w:t>
            </w:r>
            <w:proofErr w:type="spellEnd"/>
          </w:p>
        </w:tc>
        <w:tc>
          <w:tcPr>
            <w:tcW w:w="3686" w:type="dxa"/>
            <w:noWrap/>
            <w:vAlign w:val="bottom"/>
          </w:tcPr>
          <w:p w:rsidR="00C529E0" w:rsidRPr="008811DE" w:rsidRDefault="00C529E0" w:rsidP="001F3678">
            <w:pPr>
              <w:spacing w:after="0" w:line="240" w:lineRule="auto"/>
              <w:rPr>
                <w:color w:val="000000"/>
                <w:lang w:eastAsia="en-AU"/>
              </w:rPr>
            </w:pPr>
            <w:r w:rsidRPr="00163919">
              <w:rPr>
                <w:color w:val="000000"/>
                <w:lang w:eastAsia="en-AU"/>
              </w:rPr>
              <w:t>Energex</w:t>
            </w:r>
          </w:p>
        </w:tc>
      </w:tr>
      <w:tr w:rsidR="00C529E0" w:rsidRPr="00C328B4" w:rsidTr="00E83525">
        <w:trPr>
          <w:trHeight w:val="300"/>
        </w:trPr>
        <w:tc>
          <w:tcPr>
            <w:tcW w:w="2422" w:type="dxa"/>
            <w:noWrap/>
            <w:vAlign w:val="bottom"/>
          </w:tcPr>
          <w:p w:rsidR="00C529E0" w:rsidRPr="00282E52" w:rsidRDefault="00C529E0" w:rsidP="001F3678">
            <w:pPr>
              <w:spacing w:after="0" w:line="240" w:lineRule="auto"/>
              <w:rPr>
                <w:color w:val="000000"/>
                <w:lang w:eastAsia="en-AU"/>
              </w:rPr>
            </w:pPr>
            <w:r w:rsidRPr="00163919">
              <w:rPr>
                <w:color w:val="000000"/>
                <w:lang w:eastAsia="en-AU"/>
              </w:rPr>
              <w:t xml:space="preserve">Jeff </w:t>
            </w:r>
            <w:proofErr w:type="spellStart"/>
            <w:r w:rsidRPr="00163919">
              <w:rPr>
                <w:color w:val="000000"/>
                <w:lang w:eastAsia="en-AU"/>
              </w:rPr>
              <w:t>Balchin</w:t>
            </w:r>
            <w:proofErr w:type="spellEnd"/>
          </w:p>
        </w:tc>
        <w:tc>
          <w:tcPr>
            <w:tcW w:w="3686" w:type="dxa"/>
            <w:noWrap/>
            <w:vAlign w:val="bottom"/>
          </w:tcPr>
          <w:p w:rsidR="00C529E0" w:rsidRPr="00282E52" w:rsidRDefault="00C529E0" w:rsidP="001F3678">
            <w:pPr>
              <w:spacing w:after="0" w:line="240" w:lineRule="auto"/>
              <w:rPr>
                <w:color w:val="000000"/>
                <w:lang w:eastAsia="en-AU"/>
              </w:rPr>
            </w:pPr>
            <w:proofErr w:type="spellStart"/>
            <w:r w:rsidRPr="00163919">
              <w:rPr>
                <w:color w:val="000000"/>
                <w:lang w:eastAsia="en-AU"/>
              </w:rPr>
              <w:t>Incenta</w:t>
            </w:r>
            <w:proofErr w:type="spellEnd"/>
            <w:r w:rsidRPr="00163919">
              <w:rPr>
                <w:color w:val="000000"/>
                <w:lang w:eastAsia="en-AU"/>
              </w:rPr>
              <w:t xml:space="preserve"> Economic Consulting</w:t>
            </w:r>
          </w:p>
        </w:tc>
      </w:tr>
      <w:tr w:rsidR="00C529E0" w:rsidRPr="00C328B4" w:rsidTr="00E83525">
        <w:trPr>
          <w:trHeight w:val="300"/>
        </w:trPr>
        <w:tc>
          <w:tcPr>
            <w:tcW w:w="2422" w:type="dxa"/>
            <w:noWrap/>
            <w:vAlign w:val="bottom"/>
          </w:tcPr>
          <w:p w:rsidR="00C529E0" w:rsidRPr="00C328B4" w:rsidRDefault="00C529E0" w:rsidP="001F3678">
            <w:pPr>
              <w:spacing w:after="0" w:line="240" w:lineRule="auto"/>
              <w:rPr>
                <w:color w:val="000000"/>
                <w:lang w:eastAsia="en-AU"/>
              </w:rPr>
            </w:pPr>
            <w:r w:rsidRPr="00163919">
              <w:rPr>
                <w:color w:val="000000"/>
                <w:lang w:eastAsia="en-AU"/>
              </w:rPr>
              <w:t>Jennifer Harris</w:t>
            </w:r>
          </w:p>
        </w:tc>
        <w:tc>
          <w:tcPr>
            <w:tcW w:w="3686" w:type="dxa"/>
            <w:noWrap/>
            <w:vAlign w:val="bottom"/>
          </w:tcPr>
          <w:p w:rsidR="00C529E0" w:rsidRPr="00C328B4" w:rsidRDefault="00C529E0" w:rsidP="001F3678">
            <w:pPr>
              <w:spacing w:after="0" w:line="240" w:lineRule="auto"/>
              <w:rPr>
                <w:color w:val="000000"/>
                <w:lang w:eastAsia="en-AU"/>
              </w:rPr>
            </w:pPr>
            <w:r w:rsidRPr="00163919">
              <w:rPr>
                <w:color w:val="000000"/>
                <w:lang w:eastAsia="en-AU"/>
              </w:rPr>
              <w:t>Powerlink Queensland</w:t>
            </w:r>
          </w:p>
        </w:tc>
      </w:tr>
      <w:tr w:rsidR="00C529E0" w:rsidRPr="00C328B4" w:rsidTr="00E83525">
        <w:trPr>
          <w:trHeight w:val="300"/>
        </w:trPr>
        <w:tc>
          <w:tcPr>
            <w:tcW w:w="2422" w:type="dxa"/>
            <w:noWrap/>
            <w:vAlign w:val="bottom"/>
          </w:tcPr>
          <w:p w:rsidR="00C529E0" w:rsidRPr="00282E52" w:rsidRDefault="00C529E0" w:rsidP="001F3678">
            <w:pPr>
              <w:spacing w:after="0" w:line="240" w:lineRule="auto"/>
              <w:rPr>
                <w:color w:val="000000"/>
                <w:lang w:eastAsia="en-AU"/>
              </w:rPr>
            </w:pPr>
            <w:r w:rsidRPr="00163919">
              <w:rPr>
                <w:color w:val="000000"/>
                <w:lang w:eastAsia="en-AU"/>
              </w:rPr>
              <w:t>Jeremy Rothfield</w:t>
            </w:r>
          </w:p>
        </w:tc>
        <w:tc>
          <w:tcPr>
            <w:tcW w:w="3686" w:type="dxa"/>
            <w:noWrap/>
            <w:vAlign w:val="bottom"/>
          </w:tcPr>
          <w:p w:rsidR="00C529E0" w:rsidRPr="00282E52" w:rsidRDefault="00C529E0" w:rsidP="001F3678">
            <w:pPr>
              <w:spacing w:after="0" w:line="240" w:lineRule="auto"/>
              <w:rPr>
                <w:color w:val="000000"/>
                <w:lang w:eastAsia="en-AU"/>
              </w:rPr>
            </w:pPr>
            <w:r w:rsidRPr="00163919">
              <w:rPr>
                <w:color w:val="000000"/>
                <w:lang w:eastAsia="en-AU"/>
              </w:rPr>
              <w:t xml:space="preserve">United Energy &amp; </w:t>
            </w:r>
            <w:proofErr w:type="spellStart"/>
            <w:r w:rsidRPr="00163919">
              <w:rPr>
                <w:color w:val="000000"/>
                <w:lang w:eastAsia="en-AU"/>
              </w:rPr>
              <w:t>Multinet</w:t>
            </w:r>
            <w:proofErr w:type="spellEnd"/>
            <w:r w:rsidRPr="00163919">
              <w:rPr>
                <w:color w:val="000000"/>
                <w:lang w:eastAsia="en-AU"/>
              </w:rPr>
              <w:t xml:space="preserve"> Gas</w:t>
            </w:r>
          </w:p>
        </w:tc>
      </w:tr>
      <w:tr w:rsidR="00C529E0" w:rsidRPr="00C328B4" w:rsidTr="00E83525">
        <w:trPr>
          <w:trHeight w:val="300"/>
        </w:trPr>
        <w:tc>
          <w:tcPr>
            <w:tcW w:w="2422" w:type="dxa"/>
            <w:noWrap/>
            <w:vAlign w:val="bottom"/>
          </w:tcPr>
          <w:p w:rsidR="00C529E0" w:rsidRPr="00282E52" w:rsidRDefault="00C529E0" w:rsidP="001F3678">
            <w:pPr>
              <w:spacing w:after="0" w:line="240" w:lineRule="auto"/>
              <w:rPr>
                <w:color w:val="000000"/>
                <w:lang w:eastAsia="en-AU"/>
              </w:rPr>
            </w:pPr>
            <w:r w:rsidRPr="00163919">
              <w:rPr>
                <w:color w:val="000000"/>
                <w:lang w:eastAsia="en-AU"/>
              </w:rPr>
              <w:t>Leigh Mayne</w:t>
            </w:r>
          </w:p>
        </w:tc>
        <w:tc>
          <w:tcPr>
            <w:tcW w:w="3686" w:type="dxa"/>
            <w:noWrap/>
            <w:vAlign w:val="bottom"/>
          </w:tcPr>
          <w:p w:rsidR="00C529E0" w:rsidRPr="00282E52" w:rsidRDefault="00C529E0" w:rsidP="001F3678">
            <w:pPr>
              <w:spacing w:after="0" w:line="240" w:lineRule="auto"/>
              <w:rPr>
                <w:color w:val="000000"/>
                <w:lang w:eastAsia="en-AU"/>
              </w:rPr>
            </w:pPr>
            <w:r w:rsidRPr="00163919">
              <w:rPr>
                <w:color w:val="000000"/>
                <w:lang w:eastAsia="en-AU"/>
              </w:rPr>
              <w:t>Aurora Energy Pty Ltd</w:t>
            </w:r>
          </w:p>
        </w:tc>
      </w:tr>
      <w:tr w:rsidR="00C529E0" w:rsidRPr="00C328B4" w:rsidTr="00E83525">
        <w:trPr>
          <w:trHeight w:val="300"/>
        </w:trPr>
        <w:tc>
          <w:tcPr>
            <w:tcW w:w="2422" w:type="dxa"/>
            <w:noWrap/>
            <w:vAlign w:val="bottom"/>
          </w:tcPr>
          <w:p w:rsidR="00C529E0" w:rsidRPr="00C328B4" w:rsidRDefault="00C529E0" w:rsidP="001F3678">
            <w:pPr>
              <w:spacing w:after="0" w:line="240" w:lineRule="auto"/>
              <w:rPr>
                <w:color w:val="000000"/>
                <w:lang w:eastAsia="en-AU"/>
              </w:rPr>
            </w:pPr>
            <w:r w:rsidRPr="00163919">
              <w:rPr>
                <w:color w:val="000000"/>
                <w:lang w:eastAsia="en-AU"/>
              </w:rPr>
              <w:t>Megan Willcox</w:t>
            </w:r>
          </w:p>
        </w:tc>
        <w:tc>
          <w:tcPr>
            <w:tcW w:w="3686" w:type="dxa"/>
            <w:noWrap/>
            <w:vAlign w:val="bottom"/>
          </w:tcPr>
          <w:p w:rsidR="00C529E0" w:rsidRPr="00C328B4" w:rsidRDefault="00C529E0" w:rsidP="001F3678">
            <w:pPr>
              <w:spacing w:after="0" w:line="240" w:lineRule="auto"/>
              <w:rPr>
                <w:color w:val="000000"/>
                <w:lang w:eastAsia="en-AU"/>
              </w:rPr>
            </w:pPr>
            <w:r>
              <w:rPr>
                <w:color w:val="000000"/>
                <w:lang w:eastAsia="en-AU"/>
              </w:rPr>
              <w:t xml:space="preserve">CitiPower and </w:t>
            </w:r>
            <w:r w:rsidRPr="00163919">
              <w:rPr>
                <w:color w:val="000000"/>
                <w:lang w:eastAsia="en-AU"/>
              </w:rPr>
              <w:t>Powercor Australia</w:t>
            </w:r>
          </w:p>
        </w:tc>
      </w:tr>
      <w:tr w:rsidR="00C529E0" w:rsidRPr="00C328B4" w:rsidTr="00E83525">
        <w:trPr>
          <w:trHeight w:val="300"/>
        </w:trPr>
        <w:tc>
          <w:tcPr>
            <w:tcW w:w="2422" w:type="dxa"/>
            <w:noWrap/>
            <w:vAlign w:val="bottom"/>
          </w:tcPr>
          <w:p w:rsidR="00C529E0" w:rsidRPr="00282E52" w:rsidRDefault="00C529E0" w:rsidP="001F3678">
            <w:pPr>
              <w:spacing w:after="0" w:line="240" w:lineRule="auto"/>
              <w:rPr>
                <w:color w:val="000000"/>
                <w:lang w:eastAsia="en-AU"/>
              </w:rPr>
            </w:pPr>
            <w:r w:rsidRPr="00163919">
              <w:rPr>
                <w:color w:val="000000"/>
                <w:lang w:eastAsia="en-AU"/>
              </w:rPr>
              <w:t>Michael Seddon</w:t>
            </w:r>
          </w:p>
        </w:tc>
        <w:tc>
          <w:tcPr>
            <w:tcW w:w="3686" w:type="dxa"/>
            <w:noWrap/>
            <w:vAlign w:val="bottom"/>
          </w:tcPr>
          <w:p w:rsidR="00C529E0" w:rsidRPr="00282E52" w:rsidRDefault="00C529E0" w:rsidP="001F3678">
            <w:pPr>
              <w:spacing w:after="0" w:line="240" w:lineRule="auto"/>
              <w:rPr>
                <w:color w:val="000000"/>
                <w:lang w:eastAsia="en-AU"/>
              </w:rPr>
            </w:pPr>
            <w:proofErr w:type="spellStart"/>
            <w:r w:rsidRPr="00163919">
              <w:rPr>
                <w:color w:val="000000"/>
                <w:lang w:eastAsia="en-AU"/>
              </w:rPr>
              <w:t>Transend</w:t>
            </w:r>
            <w:proofErr w:type="spellEnd"/>
            <w:r w:rsidRPr="00163919">
              <w:rPr>
                <w:color w:val="000000"/>
                <w:lang w:eastAsia="en-AU"/>
              </w:rPr>
              <w:t xml:space="preserve"> Networks</w:t>
            </w:r>
          </w:p>
        </w:tc>
      </w:tr>
      <w:tr w:rsidR="00C529E0" w:rsidRPr="00C328B4" w:rsidTr="00E83525">
        <w:trPr>
          <w:trHeight w:val="300"/>
        </w:trPr>
        <w:tc>
          <w:tcPr>
            <w:tcW w:w="2422" w:type="dxa"/>
            <w:noWrap/>
            <w:vAlign w:val="bottom"/>
          </w:tcPr>
          <w:p w:rsidR="00C529E0" w:rsidRPr="00C328B4" w:rsidRDefault="00C529E0" w:rsidP="001F3678">
            <w:pPr>
              <w:spacing w:after="0" w:line="240" w:lineRule="auto"/>
              <w:rPr>
                <w:color w:val="000000"/>
                <w:lang w:eastAsia="en-AU"/>
              </w:rPr>
            </w:pPr>
            <w:r w:rsidRPr="00163919">
              <w:rPr>
                <w:color w:val="000000"/>
                <w:lang w:eastAsia="en-AU"/>
              </w:rPr>
              <w:t>Peter Bucki</w:t>
            </w:r>
          </w:p>
        </w:tc>
        <w:tc>
          <w:tcPr>
            <w:tcW w:w="3686" w:type="dxa"/>
            <w:noWrap/>
            <w:vAlign w:val="bottom"/>
          </w:tcPr>
          <w:p w:rsidR="00C529E0" w:rsidRPr="00C328B4" w:rsidRDefault="00C529E0" w:rsidP="001F3678">
            <w:pPr>
              <w:spacing w:after="0" w:line="240" w:lineRule="auto"/>
              <w:rPr>
                <w:color w:val="000000"/>
                <w:lang w:eastAsia="en-AU"/>
              </w:rPr>
            </w:pPr>
            <w:r w:rsidRPr="00163919">
              <w:rPr>
                <w:color w:val="000000"/>
                <w:lang w:eastAsia="en-AU"/>
              </w:rPr>
              <w:t>Envestra</w:t>
            </w:r>
          </w:p>
        </w:tc>
      </w:tr>
      <w:tr w:rsidR="00C529E0" w:rsidRPr="00C328B4" w:rsidTr="00E83525">
        <w:trPr>
          <w:trHeight w:val="300"/>
        </w:trPr>
        <w:tc>
          <w:tcPr>
            <w:tcW w:w="2422" w:type="dxa"/>
            <w:noWrap/>
            <w:vAlign w:val="bottom"/>
          </w:tcPr>
          <w:p w:rsidR="00C529E0" w:rsidRPr="00282E52" w:rsidRDefault="00C529E0" w:rsidP="001F3678">
            <w:pPr>
              <w:spacing w:after="0" w:line="240" w:lineRule="auto"/>
              <w:rPr>
                <w:color w:val="000000"/>
                <w:lang w:eastAsia="en-AU"/>
              </w:rPr>
            </w:pPr>
            <w:r w:rsidRPr="00163919">
              <w:rPr>
                <w:color w:val="000000"/>
                <w:lang w:eastAsia="en-AU"/>
              </w:rPr>
              <w:t>Robert McMillan</w:t>
            </w:r>
          </w:p>
        </w:tc>
        <w:tc>
          <w:tcPr>
            <w:tcW w:w="3686" w:type="dxa"/>
            <w:noWrap/>
            <w:vAlign w:val="bottom"/>
          </w:tcPr>
          <w:p w:rsidR="00C529E0" w:rsidRPr="00282E52" w:rsidRDefault="00C529E0" w:rsidP="001F3678">
            <w:pPr>
              <w:spacing w:after="0" w:line="240" w:lineRule="auto"/>
              <w:rPr>
                <w:color w:val="000000"/>
                <w:lang w:eastAsia="en-AU"/>
              </w:rPr>
            </w:pPr>
            <w:r w:rsidRPr="00163919">
              <w:rPr>
                <w:color w:val="000000"/>
                <w:lang w:eastAsia="en-AU"/>
              </w:rPr>
              <w:t>Jemena</w:t>
            </w:r>
          </w:p>
        </w:tc>
      </w:tr>
      <w:tr w:rsidR="00C529E0" w:rsidRPr="00C328B4" w:rsidTr="00E83525">
        <w:trPr>
          <w:trHeight w:val="300"/>
        </w:trPr>
        <w:tc>
          <w:tcPr>
            <w:tcW w:w="2422" w:type="dxa"/>
            <w:noWrap/>
            <w:vAlign w:val="bottom"/>
          </w:tcPr>
          <w:p w:rsidR="00C529E0" w:rsidRPr="00163919" w:rsidRDefault="00C529E0" w:rsidP="001F3678">
            <w:pPr>
              <w:spacing w:after="0" w:line="240" w:lineRule="auto"/>
              <w:rPr>
                <w:color w:val="000000"/>
                <w:lang w:eastAsia="en-AU"/>
              </w:rPr>
            </w:pPr>
            <w:r>
              <w:rPr>
                <w:color w:val="000000"/>
                <w:lang w:eastAsia="en-AU"/>
              </w:rPr>
              <w:t>Denis Lawrence</w:t>
            </w:r>
          </w:p>
        </w:tc>
        <w:tc>
          <w:tcPr>
            <w:tcW w:w="3686" w:type="dxa"/>
            <w:noWrap/>
            <w:vAlign w:val="bottom"/>
          </w:tcPr>
          <w:p w:rsidR="00C529E0" w:rsidRPr="00163919" w:rsidRDefault="00C529E0" w:rsidP="001F3678">
            <w:pPr>
              <w:spacing w:after="0" w:line="240" w:lineRule="auto"/>
              <w:rPr>
                <w:color w:val="000000"/>
                <w:lang w:eastAsia="en-AU"/>
              </w:rPr>
            </w:pPr>
            <w:r>
              <w:rPr>
                <w:color w:val="000000"/>
                <w:lang w:eastAsia="en-AU"/>
              </w:rPr>
              <w:t>Economic Insights</w:t>
            </w:r>
          </w:p>
        </w:tc>
      </w:tr>
      <w:tr w:rsidR="00C529E0" w:rsidRPr="00C328B4" w:rsidTr="00E83525">
        <w:trPr>
          <w:trHeight w:val="300"/>
        </w:trPr>
        <w:tc>
          <w:tcPr>
            <w:tcW w:w="2422" w:type="dxa"/>
            <w:noWrap/>
            <w:vAlign w:val="bottom"/>
          </w:tcPr>
          <w:p w:rsidR="00C529E0" w:rsidRPr="00163919" w:rsidRDefault="00C529E0" w:rsidP="001F3678">
            <w:pPr>
              <w:spacing w:after="0" w:line="240" w:lineRule="auto"/>
              <w:rPr>
                <w:color w:val="000000"/>
                <w:lang w:eastAsia="en-AU"/>
              </w:rPr>
            </w:pPr>
            <w:r>
              <w:rPr>
                <w:color w:val="000000"/>
                <w:lang w:eastAsia="en-AU"/>
              </w:rPr>
              <w:t>Toby Holder</w:t>
            </w:r>
          </w:p>
        </w:tc>
        <w:tc>
          <w:tcPr>
            <w:tcW w:w="3686" w:type="dxa"/>
            <w:noWrap/>
            <w:vAlign w:val="bottom"/>
          </w:tcPr>
          <w:p w:rsidR="00C529E0" w:rsidRPr="00163919" w:rsidRDefault="00C529E0" w:rsidP="001F3678">
            <w:pPr>
              <w:spacing w:after="0" w:line="240" w:lineRule="auto"/>
              <w:rPr>
                <w:color w:val="000000"/>
                <w:lang w:eastAsia="en-AU"/>
              </w:rPr>
            </w:pPr>
            <w:r>
              <w:rPr>
                <w:color w:val="000000"/>
                <w:lang w:eastAsia="en-AU"/>
              </w:rPr>
              <w:t>AER</w:t>
            </w:r>
          </w:p>
        </w:tc>
      </w:tr>
      <w:tr w:rsidR="00C529E0" w:rsidRPr="00C328B4" w:rsidTr="00E83525">
        <w:trPr>
          <w:trHeight w:val="300"/>
        </w:trPr>
        <w:tc>
          <w:tcPr>
            <w:tcW w:w="2422" w:type="dxa"/>
            <w:noWrap/>
            <w:vAlign w:val="bottom"/>
          </w:tcPr>
          <w:p w:rsidR="00C529E0" w:rsidRPr="00163919" w:rsidRDefault="00C529E0" w:rsidP="001F3678">
            <w:pPr>
              <w:spacing w:after="0" w:line="240" w:lineRule="auto"/>
              <w:rPr>
                <w:color w:val="000000"/>
                <w:lang w:eastAsia="en-AU"/>
              </w:rPr>
            </w:pPr>
            <w:r>
              <w:rPr>
                <w:color w:val="000000"/>
                <w:lang w:eastAsia="en-AU"/>
              </w:rPr>
              <w:t>Lawrence Irlam</w:t>
            </w:r>
          </w:p>
        </w:tc>
        <w:tc>
          <w:tcPr>
            <w:tcW w:w="3686" w:type="dxa"/>
            <w:noWrap/>
            <w:vAlign w:val="bottom"/>
          </w:tcPr>
          <w:p w:rsidR="00C529E0" w:rsidRPr="00163919" w:rsidRDefault="00C529E0" w:rsidP="001F3678">
            <w:pPr>
              <w:spacing w:after="0" w:line="240" w:lineRule="auto"/>
              <w:rPr>
                <w:color w:val="000000"/>
                <w:lang w:eastAsia="en-AU"/>
              </w:rPr>
            </w:pPr>
            <w:r>
              <w:rPr>
                <w:color w:val="000000"/>
                <w:lang w:eastAsia="en-AU"/>
              </w:rPr>
              <w:t>AER</w:t>
            </w:r>
          </w:p>
        </w:tc>
      </w:tr>
      <w:tr w:rsidR="00C529E0" w:rsidRPr="00C328B4" w:rsidTr="00E83525">
        <w:trPr>
          <w:trHeight w:val="300"/>
        </w:trPr>
        <w:tc>
          <w:tcPr>
            <w:tcW w:w="2422" w:type="dxa"/>
            <w:noWrap/>
            <w:vAlign w:val="bottom"/>
          </w:tcPr>
          <w:p w:rsidR="00C529E0" w:rsidRPr="00163919" w:rsidRDefault="00C529E0" w:rsidP="001F3678">
            <w:pPr>
              <w:spacing w:after="0" w:line="240" w:lineRule="auto"/>
              <w:rPr>
                <w:color w:val="000000"/>
                <w:lang w:eastAsia="en-AU"/>
              </w:rPr>
            </w:pPr>
            <w:r>
              <w:rPr>
                <w:color w:val="000000"/>
                <w:lang w:eastAsia="en-AU"/>
              </w:rPr>
              <w:t>Jason King</w:t>
            </w:r>
          </w:p>
        </w:tc>
        <w:tc>
          <w:tcPr>
            <w:tcW w:w="3686" w:type="dxa"/>
            <w:noWrap/>
            <w:vAlign w:val="bottom"/>
          </w:tcPr>
          <w:p w:rsidR="00C529E0" w:rsidRPr="00163919" w:rsidRDefault="00C529E0" w:rsidP="001F3678">
            <w:pPr>
              <w:spacing w:after="0" w:line="240" w:lineRule="auto"/>
              <w:rPr>
                <w:color w:val="000000"/>
                <w:lang w:eastAsia="en-AU"/>
              </w:rPr>
            </w:pPr>
            <w:r>
              <w:rPr>
                <w:color w:val="000000"/>
                <w:lang w:eastAsia="en-AU"/>
              </w:rPr>
              <w:t>AER</w:t>
            </w:r>
          </w:p>
        </w:tc>
      </w:tr>
      <w:tr w:rsidR="00C529E0" w:rsidRPr="00C328B4" w:rsidTr="00E83525">
        <w:trPr>
          <w:trHeight w:val="300"/>
        </w:trPr>
        <w:tc>
          <w:tcPr>
            <w:tcW w:w="2422" w:type="dxa"/>
            <w:noWrap/>
            <w:vAlign w:val="bottom"/>
          </w:tcPr>
          <w:p w:rsidR="00C529E0" w:rsidRPr="00163919" w:rsidRDefault="00C529E0" w:rsidP="001F3678">
            <w:pPr>
              <w:spacing w:after="0" w:line="240" w:lineRule="auto"/>
              <w:rPr>
                <w:color w:val="000000"/>
                <w:lang w:eastAsia="en-AU"/>
              </w:rPr>
            </w:pPr>
            <w:r>
              <w:rPr>
                <w:color w:val="000000"/>
                <w:lang w:eastAsia="en-AU"/>
              </w:rPr>
              <w:t>Su Wu</w:t>
            </w:r>
          </w:p>
        </w:tc>
        <w:tc>
          <w:tcPr>
            <w:tcW w:w="3686" w:type="dxa"/>
            <w:noWrap/>
            <w:vAlign w:val="bottom"/>
          </w:tcPr>
          <w:p w:rsidR="00C529E0" w:rsidRPr="00163919" w:rsidRDefault="00C529E0" w:rsidP="001F3678">
            <w:pPr>
              <w:spacing w:after="0" w:line="240" w:lineRule="auto"/>
              <w:rPr>
                <w:color w:val="000000"/>
                <w:lang w:eastAsia="en-AU"/>
              </w:rPr>
            </w:pPr>
            <w:r>
              <w:rPr>
                <w:color w:val="000000"/>
                <w:lang w:eastAsia="en-AU"/>
              </w:rPr>
              <w:t>AER</w:t>
            </w:r>
          </w:p>
        </w:tc>
      </w:tr>
      <w:tr w:rsidR="00C529E0" w:rsidRPr="00C328B4" w:rsidTr="00E83525">
        <w:trPr>
          <w:trHeight w:val="300"/>
        </w:trPr>
        <w:tc>
          <w:tcPr>
            <w:tcW w:w="2422" w:type="dxa"/>
            <w:noWrap/>
            <w:vAlign w:val="bottom"/>
          </w:tcPr>
          <w:p w:rsidR="00C529E0" w:rsidRPr="00163919" w:rsidRDefault="00C529E0" w:rsidP="001F3678">
            <w:pPr>
              <w:spacing w:after="0" w:line="240" w:lineRule="auto"/>
              <w:rPr>
                <w:color w:val="000000"/>
                <w:lang w:eastAsia="en-AU"/>
              </w:rPr>
            </w:pPr>
            <w:r>
              <w:rPr>
                <w:color w:val="000000"/>
                <w:lang w:eastAsia="en-AU"/>
              </w:rPr>
              <w:t>Andrew Ley</w:t>
            </w:r>
          </w:p>
        </w:tc>
        <w:tc>
          <w:tcPr>
            <w:tcW w:w="3686" w:type="dxa"/>
            <w:noWrap/>
            <w:vAlign w:val="bottom"/>
          </w:tcPr>
          <w:p w:rsidR="00C529E0" w:rsidRPr="00163919" w:rsidRDefault="00C529E0" w:rsidP="001F3678">
            <w:pPr>
              <w:spacing w:after="0" w:line="240" w:lineRule="auto"/>
              <w:rPr>
                <w:color w:val="000000"/>
                <w:lang w:eastAsia="en-AU"/>
              </w:rPr>
            </w:pPr>
            <w:r>
              <w:rPr>
                <w:color w:val="000000"/>
                <w:lang w:eastAsia="en-AU"/>
              </w:rPr>
              <w:t>AER</w:t>
            </w:r>
          </w:p>
        </w:tc>
      </w:tr>
      <w:tr w:rsidR="00C529E0" w:rsidRPr="00C328B4" w:rsidTr="00E83525">
        <w:trPr>
          <w:trHeight w:val="300"/>
        </w:trPr>
        <w:tc>
          <w:tcPr>
            <w:tcW w:w="2422" w:type="dxa"/>
            <w:noWrap/>
            <w:vAlign w:val="bottom"/>
          </w:tcPr>
          <w:p w:rsidR="00C529E0" w:rsidRPr="00163919" w:rsidRDefault="00C529E0" w:rsidP="001F3678">
            <w:pPr>
              <w:spacing w:after="0" w:line="240" w:lineRule="auto"/>
              <w:rPr>
                <w:color w:val="000000"/>
                <w:lang w:eastAsia="en-AU"/>
              </w:rPr>
            </w:pPr>
            <w:r>
              <w:rPr>
                <w:color w:val="000000"/>
                <w:lang w:eastAsia="en-AU"/>
              </w:rPr>
              <w:t>Mark McLeish</w:t>
            </w:r>
          </w:p>
        </w:tc>
        <w:tc>
          <w:tcPr>
            <w:tcW w:w="3686" w:type="dxa"/>
            <w:noWrap/>
            <w:vAlign w:val="bottom"/>
          </w:tcPr>
          <w:p w:rsidR="00C529E0" w:rsidRPr="00163919" w:rsidRDefault="00C529E0" w:rsidP="001F3678">
            <w:pPr>
              <w:spacing w:after="0" w:line="240" w:lineRule="auto"/>
              <w:rPr>
                <w:color w:val="000000"/>
                <w:lang w:eastAsia="en-AU"/>
              </w:rPr>
            </w:pPr>
            <w:r>
              <w:rPr>
                <w:color w:val="000000"/>
                <w:lang w:eastAsia="en-AU"/>
              </w:rPr>
              <w:t>AER</w:t>
            </w:r>
          </w:p>
        </w:tc>
      </w:tr>
      <w:tr w:rsidR="00C529E0" w:rsidRPr="00C328B4" w:rsidTr="00E83525">
        <w:trPr>
          <w:trHeight w:val="300"/>
        </w:trPr>
        <w:tc>
          <w:tcPr>
            <w:tcW w:w="2422" w:type="dxa"/>
            <w:noWrap/>
            <w:vAlign w:val="bottom"/>
          </w:tcPr>
          <w:p w:rsidR="00C529E0" w:rsidRPr="00163919" w:rsidRDefault="00C529E0" w:rsidP="001F3678">
            <w:pPr>
              <w:spacing w:after="0" w:line="240" w:lineRule="auto"/>
              <w:rPr>
                <w:color w:val="000000"/>
                <w:lang w:eastAsia="en-AU"/>
              </w:rPr>
            </w:pPr>
            <w:r>
              <w:rPr>
                <w:color w:val="000000"/>
                <w:lang w:eastAsia="en-AU"/>
              </w:rPr>
              <w:t>Kevin Cheung</w:t>
            </w:r>
          </w:p>
        </w:tc>
        <w:tc>
          <w:tcPr>
            <w:tcW w:w="3686" w:type="dxa"/>
            <w:noWrap/>
            <w:vAlign w:val="bottom"/>
          </w:tcPr>
          <w:p w:rsidR="00C529E0" w:rsidRPr="00163919" w:rsidRDefault="00C529E0" w:rsidP="001F3678">
            <w:pPr>
              <w:spacing w:after="0" w:line="240" w:lineRule="auto"/>
              <w:rPr>
                <w:color w:val="000000"/>
                <w:lang w:eastAsia="en-AU"/>
              </w:rPr>
            </w:pPr>
            <w:r>
              <w:rPr>
                <w:color w:val="000000"/>
                <w:lang w:eastAsia="en-AU"/>
              </w:rPr>
              <w:t>AER</w:t>
            </w:r>
          </w:p>
        </w:tc>
      </w:tr>
      <w:tr w:rsidR="00C529E0" w:rsidRPr="00C328B4" w:rsidTr="00E83525">
        <w:trPr>
          <w:trHeight w:val="300"/>
        </w:trPr>
        <w:tc>
          <w:tcPr>
            <w:tcW w:w="2422" w:type="dxa"/>
            <w:noWrap/>
            <w:vAlign w:val="bottom"/>
          </w:tcPr>
          <w:p w:rsidR="00C529E0" w:rsidRDefault="00C529E0" w:rsidP="001F3678">
            <w:pPr>
              <w:spacing w:after="0" w:line="240" w:lineRule="auto"/>
              <w:rPr>
                <w:color w:val="000000"/>
                <w:lang w:eastAsia="en-AU"/>
              </w:rPr>
            </w:pPr>
            <w:r>
              <w:rPr>
                <w:color w:val="000000"/>
                <w:lang w:eastAsia="en-AU"/>
              </w:rPr>
              <w:t>Anthony Seipolt</w:t>
            </w:r>
          </w:p>
        </w:tc>
        <w:tc>
          <w:tcPr>
            <w:tcW w:w="3686" w:type="dxa"/>
            <w:noWrap/>
            <w:vAlign w:val="bottom"/>
          </w:tcPr>
          <w:p w:rsidR="00C529E0" w:rsidRPr="00163919" w:rsidRDefault="00C529E0" w:rsidP="001F3678">
            <w:pPr>
              <w:spacing w:after="0" w:line="240" w:lineRule="auto"/>
              <w:rPr>
                <w:color w:val="000000"/>
                <w:lang w:eastAsia="en-AU"/>
              </w:rPr>
            </w:pPr>
            <w:r>
              <w:rPr>
                <w:color w:val="000000"/>
                <w:lang w:eastAsia="en-AU"/>
              </w:rPr>
              <w:t>AER</w:t>
            </w:r>
          </w:p>
        </w:tc>
      </w:tr>
    </w:tbl>
    <w:p w:rsidR="00C529E0" w:rsidRDefault="00C529E0" w:rsidP="00B46CAD"/>
    <w:p w:rsidR="00C529E0" w:rsidRPr="001934EC" w:rsidRDefault="00C529E0" w:rsidP="00851AB9">
      <w:pPr>
        <w:pStyle w:val="Heading3"/>
      </w:pPr>
      <w:r>
        <w:t>Sydney</w:t>
      </w:r>
      <w:r w:rsidRPr="001934EC">
        <w:t xml:space="preserve"> </w:t>
      </w:r>
      <w:r>
        <w:t>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686"/>
      </w:tblGrid>
      <w:tr w:rsidR="00C529E0" w:rsidRPr="00C328B4" w:rsidTr="00851AB9">
        <w:trPr>
          <w:trHeight w:val="300"/>
        </w:trPr>
        <w:tc>
          <w:tcPr>
            <w:tcW w:w="2422" w:type="dxa"/>
            <w:noWrap/>
            <w:vAlign w:val="bottom"/>
          </w:tcPr>
          <w:p w:rsidR="00C529E0" w:rsidRPr="00C328B4" w:rsidRDefault="00C529E0" w:rsidP="00851AB9">
            <w:pPr>
              <w:spacing w:after="0" w:line="240" w:lineRule="auto"/>
              <w:rPr>
                <w:b/>
                <w:color w:val="000000"/>
                <w:lang w:eastAsia="en-AU"/>
              </w:rPr>
            </w:pPr>
            <w:r w:rsidRPr="00C328B4">
              <w:rPr>
                <w:b/>
                <w:color w:val="000000"/>
                <w:lang w:eastAsia="en-AU"/>
              </w:rPr>
              <w:t>Name</w:t>
            </w:r>
          </w:p>
        </w:tc>
        <w:tc>
          <w:tcPr>
            <w:tcW w:w="3686" w:type="dxa"/>
            <w:noWrap/>
            <w:vAlign w:val="bottom"/>
          </w:tcPr>
          <w:p w:rsidR="00C529E0" w:rsidRPr="00C328B4" w:rsidRDefault="00C529E0" w:rsidP="00851AB9">
            <w:pPr>
              <w:spacing w:after="0" w:line="240" w:lineRule="auto"/>
              <w:ind w:right="-825"/>
              <w:rPr>
                <w:b/>
                <w:color w:val="000000"/>
                <w:lang w:eastAsia="en-AU"/>
              </w:rPr>
            </w:pPr>
            <w:r w:rsidRPr="00C328B4">
              <w:rPr>
                <w:b/>
                <w:color w:val="000000"/>
                <w:lang w:eastAsia="en-AU"/>
              </w:rPr>
              <w:t>Organisation</w:t>
            </w:r>
          </w:p>
        </w:tc>
      </w:tr>
      <w:tr w:rsidR="00C529E0" w:rsidRPr="00C328B4" w:rsidTr="00851AB9">
        <w:trPr>
          <w:trHeight w:val="300"/>
        </w:trPr>
        <w:tc>
          <w:tcPr>
            <w:tcW w:w="2422" w:type="dxa"/>
            <w:noWrap/>
            <w:vAlign w:val="bottom"/>
          </w:tcPr>
          <w:p w:rsidR="00C529E0" w:rsidRPr="00282E52" w:rsidRDefault="00C529E0" w:rsidP="00851AB9">
            <w:pPr>
              <w:spacing w:after="0" w:line="240" w:lineRule="auto"/>
              <w:rPr>
                <w:color w:val="000000"/>
                <w:lang w:eastAsia="en-AU"/>
              </w:rPr>
            </w:pPr>
            <w:r>
              <w:rPr>
                <w:color w:val="000000"/>
                <w:lang w:eastAsia="en-AU"/>
              </w:rPr>
              <w:t xml:space="preserve">Mark </w:t>
            </w:r>
            <w:proofErr w:type="spellStart"/>
            <w:r>
              <w:rPr>
                <w:color w:val="000000"/>
                <w:lang w:eastAsia="en-AU"/>
              </w:rPr>
              <w:t>Hillsdon</w:t>
            </w:r>
            <w:proofErr w:type="spellEnd"/>
          </w:p>
        </w:tc>
        <w:tc>
          <w:tcPr>
            <w:tcW w:w="3686" w:type="dxa"/>
            <w:noWrap/>
            <w:vAlign w:val="bottom"/>
          </w:tcPr>
          <w:p w:rsidR="00C529E0" w:rsidRPr="00282E52" w:rsidRDefault="00C529E0" w:rsidP="00851AB9">
            <w:pPr>
              <w:spacing w:after="0" w:line="240" w:lineRule="auto"/>
              <w:rPr>
                <w:color w:val="000000"/>
                <w:lang w:eastAsia="en-AU"/>
              </w:rPr>
            </w:pPr>
            <w:r>
              <w:rPr>
                <w:color w:val="000000"/>
                <w:lang w:eastAsia="en-AU"/>
              </w:rPr>
              <w:t>Essential Energy</w:t>
            </w:r>
          </w:p>
        </w:tc>
      </w:tr>
      <w:tr w:rsidR="00C529E0" w:rsidRPr="00C328B4" w:rsidTr="00851AB9">
        <w:trPr>
          <w:trHeight w:val="300"/>
        </w:trPr>
        <w:tc>
          <w:tcPr>
            <w:tcW w:w="2422" w:type="dxa"/>
            <w:noWrap/>
            <w:vAlign w:val="bottom"/>
          </w:tcPr>
          <w:p w:rsidR="00C529E0" w:rsidRDefault="00C529E0" w:rsidP="00851AB9">
            <w:pPr>
              <w:spacing w:after="0" w:line="240" w:lineRule="auto"/>
              <w:rPr>
                <w:color w:val="000000"/>
                <w:lang w:eastAsia="en-AU"/>
              </w:rPr>
            </w:pPr>
            <w:r>
              <w:rPr>
                <w:color w:val="000000"/>
                <w:lang w:eastAsia="en-AU"/>
              </w:rPr>
              <w:t>Matt Cooper</w:t>
            </w:r>
          </w:p>
        </w:tc>
        <w:tc>
          <w:tcPr>
            <w:tcW w:w="3686" w:type="dxa"/>
            <w:noWrap/>
            <w:vAlign w:val="bottom"/>
          </w:tcPr>
          <w:p w:rsidR="00C529E0" w:rsidRDefault="00C529E0" w:rsidP="00851AB9">
            <w:pPr>
              <w:spacing w:after="0" w:line="240" w:lineRule="auto"/>
              <w:rPr>
                <w:color w:val="000000"/>
                <w:lang w:eastAsia="en-AU"/>
              </w:rPr>
            </w:pPr>
            <w:r>
              <w:rPr>
                <w:color w:val="000000"/>
                <w:lang w:eastAsia="en-AU"/>
              </w:rPr>
              <w:t>Ausgrid</w:t>
            </w:r>
          </w:p>
        </w:tc>
      </w:tr>
      <w:tr w:rsidR="00C529E0" w:rsidRPr="00C328B4" w:rsidTr="00851AB9">
        <w:trPr>
          <w:trHeight w:val="300"/>
        </w:trPr>
        <w:tc>
          <w:tcPr>
            <w:tcW w:w="2422" w:type="dxa"/>
            <w:noWrap/>
            <w:vAlign w:val="bottom"/>
          </w:tcPr>
          <w:p w:rsidR="00C529E0" w:rsidRDefault="00C529E0" w:rsidP="00851AB9">
            <w:pPr>
              <w:spacing w:after="0" w:line="240" w:lineRule="auto"/>
              <w:rPr>
                <w:color w:val="000000"/>
                <w:lang w:eastAsia="en-AU"/>
              </w:rPr>
            </w:pPr>
            <w:r>
              <w:rPr>
                <w:color w:val="000000"/>
                <w:lang w:eastAsia="en-AU"/>
              </w:rPr>
              <w:t xml:space="preserve">Oliver </w:t>
            </w:r>
            <w:proofErr w:type="spellStart"/>
            <w:r>
              <w:rPr>
                <w:color w:val="000000"/>
                <w:lang w:eastAsia="en-AU"/>
              </w:rPr>
              <w:t>Skelding</w:t>
            </w:r>
            <w:proofErr w:type="spellEnd"/>
          </w:p>
        </w:tc>
        <w:tc>
          <w:tcPr>
            <w:tcW w:w="3686" w:type="dxa"/>
            <w:noWrap/>
            <w:vAlign w:val="bottom"/>
          </w:tcPr>
          <w:p w:rsidR="00C529E0" w:rsidRDefault="00C529E0" w:rsidP="00851AB9">
            <w:pPr>
              <w:spacing w:after="0" w:line="240" w:lineRule="auto"/>
              <w:rPr>
                <w:color w:val="000000"/>
                <w:lang w:eastAsia="en-AU"/>
              </w:rPr>
            </w:pPr>
            <w:r>
              <w:rPr>
                <w:color w:val="000000"/>
                <w:lang w:eastAsia="en-AU"/>
              </w:rPr>
              <w:t>Ergon Energy</w:t>
            </w:r>
          </w:p>
        </w:tc>
      </w:tr>
      <w:tr w:rsidR="00C529E0" w:rsidRPr="00C328B4" w:rsidTr="00851AB9">
        <w:trPr>
          <w:trHeight w:val="300"/>
        </w:trPr>
        <w:tc>
          <w:tcPr>
            <w:tcW w:w="2422" w:type="dxa"/>
            <w:noWrap/>
            <w:vAlign w:val="bottom"/>
          </w:tcPr>
          <w:p w:rsidR="00C529E0" w:rsidRDefault="00C529E0" w:rsidP="00851AB9">
            <w:pPr>
              <w:spacing w:after="0" w:line="240" w:lineRule="auto"/>
              <w:rPr>
                <w:color w:val="000000"/>
                <w:lang w:eastAsia="en-AU"/>
              </w:rPr>
            </w:pPr>
            <w:r>
              <w:rPr>
                <w:color w:val="000000"/>
                <w:lang w:eastAsia="en-AU"/>
              </w:rPr>
              <w:t>Warwick Tudehope</w:t>
            </w:r>
          </w:p>
        </w:tc>
        <w:tc>
          <w:tcPr>
            <w:tcW w:w="3686" w:type="dxa"/>
            <w:noWrap/>
            <w:vAlign w:val="bottom"/>
          </w:tcPr>
          <w:p w:rsidR="00C529E0" w:rsidRDefault="00C529E0" w:rsidP="00851AB9">
            <w:pPr>
              <w:spacing w:after="0" w:line="240" w:lineRule="auto"/>
              <w:rPr>
                <w:color w:val="000000"/>
                <w:lang w:eastAsia="en-AU"/>
              </w:rPr>
            </w:pPr>
            <w:r>
              <w:rPr>
                <w:color w:val="000000"/>
                <w:lang w:eastAsia="en-AU"/>
              </w:rPr>
              <w:t>Jemena</w:t>
            </w:r>
          </w:p>
        </w:tc>
      </w:tr>
      <w:tr w:rsidR="00C529E0" w:rsidRPr="00C328B4" w:rsidTr="00851AB9">
        <w:trPr>
          <w:trHeight w:val="300"/>
        </w:trPr>
        <w:tc>
          <w:tcPr>
            <w:tcW w:w="2422" w:type="dxa"/>
            <w:noWrap/>
            <w:vAlign w:val="bottom"/>
          </w:tcPr>
          <w:p w:rsidR="00C529E0" w:rsidRDefault="00C529E0" w:rsidP="00851AB9">
            <w:pPr>
              <w:spacing w:after="0" w:line="240" w:lineRule="auto"/>
              <w:rPr>
                <w:color w:val="000000"/>
                <w:lang w:eastAsia="en-AU"/>
              </w:rPr>
            </w:pPr>
            <w:r>
              <w:rPr>
                <w:color w:val="000000"/>
                <w:lang w:eastAsia="en-AU"/>
              </w:rPr>
              <w:t>Matt Le Cornu</w:t>
            </w:r>
          </w:p>
        </w:tc>
        <w:tc>
          <w:tcPr>
            <w:tcW w:w="3686" w:type="dxa"/>
            <w:noWrap/>
            <w:vAlign w:val="bottom"/>
          </w:tcPr>
          <w:p w:rsidR="00C529E0" w:rsidRDefault="00C529E0" w:rsidP="00851AB9">
            <w:pPr>
              <w:spacing w:after="0" w:line="240" w:lineRule="auto"/>
              <w:rPr>
                <w:color w:val="000000"/>
                <w:lang w:eastAsia="en-AU"/>
              </w:rPr>
            </w:pPr>
            <w:r>
              <w:rPr>
                <w:color w:val="000000"/>
                <w:lang w:eastAsia="en-AU"/>
              </w:rPr>
              <w:t>AER</w:t>
            </w:r>
          </w:p>
        </w:tc>
      </w:tr>
    </w:tbl>
    <w:p w:rsidR="00C529E0" w:rsidRDefault="00C529E0" w:rsidP="00B46CAD"/>
    <w:p w:rsidR="00C529E0" w:rsidRPr="00DC1450" w:rsidRDefault="00C529E0" w:rsidP="00B46CAD"/>
    <w:p w:rsidR="00C529E0" w:rsidRPr="00B46CAD" w:rsidRDefault="00C529E0" w:rsidP="00B46CAD"/>
    <w:sectPr w:rsidR="00C529E0" w:rsidRPr="00B46CAD" w:rsidSect="00913FA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508" w:rsidRDefault="00506508" w:rsidP="0025069A">
      <w:pPr>
        <w:spacing w:after="0" w:line="240" w:lineRule="auto"/>
      </w:pPr>
      <w:r>
        <w:separator/>
      </w:r>
    </w:p>
  </w:endnote>
  <w:endnote w:type="continuationSeparator" w:id="0">
    <w:p w:rsidR="00506508" w:rsidRDefault="00506508" w:rsidP="0025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E0" w:rsidRDefault="00506508">
    <w:pPr>
      <w:pStyle w:val="Footer"/>
      <w:jc w:val="right"/>
    </w:pPr>
    <w:r>
      <w:fldChar w:fldCharType="begin"/>
    </w:r>
    <w:r>
      <w:instrText xml:space="preserve"> PAGE   \* MERGEFORMAT </w:instrText>
    </w:r>
    <w:r>
      <w:fldChar w:fldCharType="separate"/>
    </w:r>
    <w:r w:rsidR="00D21E65">
      <w:rPr>
        <w:noProof/>
      </w:rPr>
      <w:t>2</w:t>
    </w:r>
    <w:r>
      <w:rPr>
        <w:noProof/>
      </w:rPr>
      <w:fldChar w:fldCharType="end"/>
    </w:r>
  </w:p>
  <w:p w:rsidR="00C529E0" w:rsidRDefault="00C52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508" w:rsidRDefault="00506508" w:rsidP="0025069A">
      <w:pPr>
        <w:spacing w:after="0" w:line="240" w:lineRule="auto"/>
      </w:pPr>
      <w:r>
        <w:separator/>
      </w:r>
    </w:p>
  </w:footnote>
  <w:footnote w:type="continuationSeparator" w:id="0">
    <w:p w:rsidR="00506508" w:rsidRDefault="00506508" w:rsidP="002506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7C7E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EED4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44A72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38EB9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CD45D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5032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147C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4A60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9CC2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C21854"/>
    <w:lvl w:ilvl="0">
      <w:start w:val="1"/>
      <w:numFmt w:val="bullet"/>
      <w:lvlText w:val=""/>
      <w:lvlJc w:val="left"/>
      <w:pPr>
        <w:tabs>
          <w:tab w:val="num" w:pos="360"/>
        </w:tabs>
        <w:ind w:left="360" w:hanging="360"/>
      </w:pPr>
      <w:rPr>
        <w:rFonts w:ascii="Symbol" w:hAnsi="Symbol" w:hint="default"/>
      </w:rPr>
    </w:lvl>
  </w:abstractNum>
  <w:abstractNum w:abstractNumId="10">
    <w:nsid w:val="005F7147"/>
    <w:multiLevelType w:val="hybridMultilevel"/>
    <w:tmpl w:val="0C5C8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nsid w:val="07254A19"/>
    <w:multiLevelType w:val="hybridMultilevel"/>
    <w:tmpl w:val="ADA4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597CF9"/>
    <w:multiLevelType w:val="multilevel"/>
    <w:tmpl w:val="B478DFE6"/>
    <w:numStyleLink w:val="AERnumberedlist"/>
  </w:abstractNum>
  <w:abstractNum w:abstractNumId="14">
    <w:nsid w:val="1E67118C"/>
    <w:multiLevelType w:val="hybridMultilevel"/>
    <w:tmpl w:val="A39C2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EF260AA"/>
    <w:multiLevelType w:val="hybridMultilevel"/>
    <w:tmpl w:val="0CA8FC3E"/>
    <w:lvl w:ilvl="0" w:tplc="E22438F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22A5575B"/>
    <w:multiLevelType w:val="hybridMultilevel"/>
    <w:tmpl w:val="2BEA192C"/>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D185491"/>
    <w:multiLevelType w:val="hybridMultilevel"/>
    <w:tmpl w:val="0584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487971"/>
    <w:multiLevelType w:val="multilevel"/>
    <w:tmpl w:val="B478DFE6"/>
    <w:styleLink w:val="AERnumberedlist"/>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decimal"/>
      <w:lvlRestart w:val="0"/>
      <w:pStyle w:val="AERnumberedlist2first"/>
      <w:lvlText w:val="(%5)"/>
      <w:lvlJc w:val="left"/>
      <w:pPr>
        <w:tabs>
          <w:tab w:val="num" w:pos="357"/>
        </w:tabs>
        <w:ind w:left="357" w:hanging="357"/>
      </w:pPr>
      <w:rPr>
        <w:rFonts w:cs="Times New Roman" w:hint="default"/>
      </w:rPr>
    </w:lvl>
    <w:lvl w:ilvl="5">
      <w:start w:val="1"/>
      <w:numFmt w:val="lowerLetter"/>
      <w:lvlRestart w:val="0"/>
      <w:pStyle w:val="AERnumberedlist2second"/>
      <w:lvlText w:val="(%6)"/>
      <w:lvlJc w:val="left"/>
      <w:pPr>
        <w:tabs>
          <w:tab w:val="num" w:pos="720"/>
        </w:tabs>
        <w:ind w:left="720" w:hanging="363"/>
      </w:pPr>
      <w:rPr>
        <w:rFonts w:cs="Times New Roman" w:hint="default"/>
      </w:rPr>
    </w:lvl>
    <w:lvl w:ilvl="6">
      <w:start w:val="1"/>
      <w:numFmt w:val="lowerRoman"/>
      <w:lvlRestart w:val="0"/>
      <w:pStyle w:val="AERnumberedlist2third"/>
      <w:lvlText w:val="(%7)"/>
      <w:lvlJc w:val="left"/>
      <w:pPr>
        <w:tabs>
          <w:tab w:val="num" w:pos="1077"/>
        </w:tabs>
        <w:ind w:left="1077" w:hanging="357"/>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56E274FC"/>
    <w:multiLevelType w:val="hybridMultilevel"/>
    <w:tmpl w:val="678C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E653FC8"/>
    <w:multiLevelType w:val="hybridMultilevel"/>
    <w:tmpl w:val="3A10DB3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4"/>
  </w:num>
  <w:num w:numId="2">
    <w:abstractNumId w:val="12"/>
  </w:num>
  <w:num w:numId="3">
    <w:abstractNumId w:val="17"/>
  </w:num>
  <w:num w:numId="4">
    <w:abstractNumId w:val="16"/>
  </w:num>
  <w:num w:numId="5">
    <w:abstractNumId w:val="20"/>
  </w:num>
  <w:num w:numId="6">
    <w:abstractNumId w:val="15"/>
  </w:num>
  <w:num w:numId="7">
    <w:abstractNumId w:val="10"/>
  </w:num>
  <w:num w:numId="8">
    <w:abstractNumId w:val="19"/>
  </w:num>
  <w:num w:numId="9">
    <w:abstractNumId w:val="11"/>
  </w:num>
  <w:num w:numId="10">
    <w:abstractNumId w:val="18"/>
  </w:num>
  <w:num w:numId="11">
    <w:abstractNumId w:val="13"/>
  </w:num>
  <w:num w:numId="12">
    <w:abstractNumId w:val="13"/>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Documents and Settings\anley\Local Settings\Temporary Internet Files\Content.Outlook\J7T0TWJL\AER expenditure workshop 16 meeting summary - economic benchmarking applications(CPPAL comments).DOCX"/>
  </w:docVars>
  <w:rsids>
    <w:rsidRoot w:val="0079222A"/>
    <w:rsid w:val="00000A86"/>
    <w:rsid w:val="00000C2E"/>
    <w:rsid w:val="00001A9F"/>
    <w:rsid w:val="000031AC"/>
    <w:rsid w:val="000052B9"/>
    <w:rsid w:val="000074AD"/>
    <w:rsid w:val="00007565"/>
    <w:rsid w:val="000167DA"/>
    <w:rsid w:val="000216FB"/>
    <w:rsid w:val="00021B1F"/>
    <w:rsid w:val="00021CD8"/>
    <w:rsid w:val="000238C6"/>
    <w:rsid w:val="00024B73"/>
    <w:rsid w:val="0002542A"/>
    <w:rsid w:val="000266C3"/>
    <w:rsid w:val="00030576"/>
    <w:rsid w:val="00035F30"/>
    <w:rsid w:val="000376C8"/>
    <w:rsid w:val="000379FE"/>
    <w:rsid w:val="00037A6E"/>
    <w:rsid w:val="00042A9D"/>
    <w:rsid w:val="000446DE"/>
    <w:rsid w:val="00051DC6"/>
    <w:rsid w:val="0005231A"/>
    <w:rsid w:val="0005328B"/>
    <w:rsid w:val="00054ECC"/>
    <w:rsid w:val="0006106A"/>
    <w:rsid w:val="00061C00"/>
    <w:rsid w:val="000632C4"/>
    <w:rsid w:val="0006518D"/>
    <w:rsid w:val="00065270"/>
    <w:rsid w:val="00065603"/>
    <w:rsid w:val="000672CB"/>
    <w:rsid w:val="000673FA"/>
    <w:rsid w:val="00070571"/>
    <w:rsid w:val="00071052"/>
    <w:rsid w:val="00075CBE"/>
    <w:rsid w:val="000770D5"/>
    <w:rsid w:val="00077807"/>
    <w:rsid w:val="00077DA4"/>
    <w:rsid w:val="00081553"/>
    <w:rsid w:val="0008424C"/>
    <w:rsid w:val="00085645"/>
    <w:rsid w:val="00085741"/>
    <w:rsid w:val="00086A31"/>
    <w:rsid w:val="00086A88"/>
    <w:rsid w:val="00087470"/>
    <w:rsid w:val="000901C0"/>
    <w:rsid w:val="00091641"/>
    <w:rsid w:val="00091EA5"/>
    <w:rsid w:val="000921B1"/>
    <w:rsid w:val="00092216"/>
    <w:rsid w:val="0009272C"/>
    <w:rsid w:val="00093D5D"/>
    <w:rsid w:val="00096C34"/>
    <w:rsid w:val="00096E87"/>
    <w:rsid w:val="000972DA"/>
    <w:rsid w:val="00097AFC"/>
    <w:rsid w:val="00097D5D"/>
    <w:rsid w:val="000A054E"/>
    <w:rsid w:val="000A3CC1"/>
    <w:rsid w:val="000A4A32"/>
    <w:rsid w:val="000A4C50"/>
    <w:rsid w:val="000A690C"/>
    <w:rsid w:val="000A6993"/>
    <w:rsid w:val="000A6FD4"/>
    <w:rsid w:val="000B5666"/>
    <w:rsid w:val="000B6121"/>
    <w:rsid w:val="000B6836"/>
    <w:rsid w:val="000B6D72"/>
    <w:rsid w:val="000C09F4"/>
    <w:rsid w:val="000C0ABB"/>
    <w:rsid w:val="000C1318"/>
    <w:rsid w:val="000C1AD5"/>
    <w:rsid w:val="000C30B4"/>
    <w:rsid w:val="000C321B"/>
    <w:rsid w:val="000C3279"/>
    <w:rsid w:val="000C53F8"/>
    <w:rsid w:val="000C54F5"/>
    <w:rsid w:val="000C6ED2"/>
    <w:rsid w:val="000C7070"/>
    <w:rsid w:val="000D2082"/>
    <w:rsid w:val="000D208D"/>
    <w:rsid w:val="000D49DF"/>
    <w:rsid w:val="000E0A8A"/>
    <w:rsid w:val="000E3B3C"/>
    <w:rsid w:val="000E4757"/>
    <w:rsid w:val="000E5A12"/>
    <w:rsid w:val="000E5A28"/>
    <w:rsid w:val="000E5EBA"/>
    <w:rsid w:val="000E6E79"/>
    <w:rsid w:val="000F0149"/>
    <w:rsid w:val="000F15FA"/>
    <w:rsid w:val="000F3A83"/>
    <w:rsid w:val="000F476D"/>
    <w:rsid w:val="000F5621"/>
    <w:rsid w:val="000F5C6D"/>
    <w:rsid w:val="000F5F72"/>
    <w:rsid w:val="000F6432"/>
    <w:rsid w:val="000F7D30"/>
    <w:rsid w:val="000F7F62"/>
    <w:rsid w:val="001011A7"/>
    <w:rsid w:val="00101AEC"/>
    <w:rsid w:val="0010509C"/>
    <w:rsid w:val="00105F97"/>
    <w:rsid w:val="00110C9F"/>
    <w:rsid w:val="00111042"/>
    <w:rsid w:val="00112A1F"/>
    <w:rsid w:val="00112B1A"/>
    <w:rsid w:val="00113A3A"/>
    <w:rsid w:val="00113B11"/>
    <w:rsid w:val="00113FD6"/>
    <w:rsid w:val="00115B0C"/>
    <w:rsid w:val="0011688D"/>
    <w:rsid w:val="00120118"/>
    <w:rsid w:val="00120699"/>
    <w:rsid w:val="00121EF7"/>
    <w:rsid w:val="001236C8"/>
    <w:rsid w:val="0012670A"/>
    <w:rsid w:val="001279DD"/>
    <w:rsid w:val="0013030B"/>
    <w:rsid w:val="00130704"/>
    <w:rsid w:val="00130E52"/>
    <w:rsid w:val="001321A5"/>
    <w:rsid w:val="001325A7"/>
    <w:rsid w:val="0013270C"/>
    <w:rsid w:val="00132F06"/>
    <w:rsid w:val="00136173"/>
    <w:rsid w:val="001400AD"/>
    <w:rsid w:val="001418B9"/>
    <w:rsid w:val="00141D02"/>
    <w:rsid w:val="00142487"/>
    <w:rsid w:val="00143859"/>
    <w:rsid w:val="001444EF"/>
    <w:rsid w:val="0014516B"/>
    <w:rsid w:val="00150BC9"/>
    <w:rsid w:val="00152401"/>
    <w:rsid w:val="00153F2D"/>
    <w:rsid w:val="0015473B"/>
    <w:rsid w:val="00155FEE"/>
    <w:rsid w:val="00156726"/>
    <w:rsid w:val="001579F7"/>
    <w:rsid w:val="00160DF6"/>
    <w:rsid w:val="00162D40"/>
    <w:rsid w:val="00163346"/>
    <w:rsid w:val="00163389"/>
    <w:rsid w:val="00163919"/>
    <w:rsid w:val="00164484"/>
    <w:rsid w:val="00164557"/>
    <w:rsid w:val="00164B3C"/>
    <w:rsid w:val="00164FD3"/>
    <w:rsid w:val="00165DDD"/>
    <w:rsid w:val="0016692E"/>
    <w:rsid w:val="0017050B"/>
    <w:rsid w:val="001722C4"/>
    <w:rsid w:val="001722C7"/>
    <w:rsid w:val="00172F87"/>
    <w:rsid w:val="0017578F"/>
    <w:rsid w:val="00181658"/>
    <w:rsid w:val="00181B36"/>
    <w:rsid w:val="001826D0"/>
    <w:rsid w:val="00183510"/>
    <w:rsid w:val="001840BE"/>
    <w:rsid w:val="00184A07"/>
    <w:rsid w:val="001859B5"/>
    <w:rsid w:val="00190D3B"/>
    <w:rsid w:val="001929A5"/>
    <w:rsid w:val="001930C7"/>
    <w:rsid w:val="001934EC"/>
    <w:rsid w:val="00193CF0"/>
    <w:rsid w:val="00194EC7"/>
    <w:rsid w:val="001974F7"/>
    <w:rsid w:val="001A1F3F"/>
    <w:rsid w:val="001A3C1C"/>
    <w:rsid w:val="001A561B"/>
    <w:rsid w:val="001A654E"/>
    <w:rsid w:val="001A7685"/>
    <w:rsid w:val="001A78F8"/>
    <w:rsid w:val="001B1C0C"/>
    <w:rsid w:val="001B360C"/>
    <w:rsid w:val="001B3699"/>
    <w:rsid w:val="001B3D8B"/>
    <w:rsid w:val="001B4CCA"/>
    <w:rsid w:val="001B5027"/>
    <w:rsid w:val="001B5DEF"/>
    <w:rsid w:val="001B76B2"/>
    <w:rsid w:val="001C05D2"/>
    <w:rsid w:val="001C2B99"/>
    <w:rsid w:val="001C352E"/>
    <w:rsid w:val="001C4B26"/>
    <w:rsid w:val="001C517D"/>
    <w:rsid w:val="001C5228"/>
    <w:rsid w:val="001C6296"/>
    <w:rsid w:val="001D02D8"/>
    <w:rsid w:val="001D0512"/>
    <w:rsid w:val="001D1721"/>
    <w:rsid w:val="001D18D0"/>
    <w:rsid w:val="001D358D"/>
    <w:rsid w:val="001D45F5"/>
    <w:rsid w:val="001D6E4A"/>
    <w:rsid w:val="001D79EB"/>
    <w:rsid w:val="001E0E04"/>
    <w:rsid w:val="001E1627"/>
    <w:rsid w:val="001E7283"/>
    <w:rsid w:val="001F1C16"/>
    <w:rsid w:val="001F1E3C"/>
    <w:rsid w:val="001F2B3C"/>
    <w:rsid w:val="001F310A"/>
    <w:rsid w:val="001F3678"/>
    <w:rsid w:val="001F59D4"/>
    <w:rsid w:val="001F605E"/>
    <w:rsid w:val="001F616A"/>
    <w:rsid w:val="001F70E7"/>
    <w:rsid w:val="001F7617"/>
    <w:rsid w:val="001F7892"/>
    <w:rsid w:val="001F7FD3"/>
    <w:rsid w:val="00200A6B"/>
    <w:rsid w:val="00201118"/>
    <w:rsid w:val="00201362"/>
    <w:rsid w:val="002035F8"/>
    <w:rsid w:val="00204E11"/>
    <w:rsid w:val="00206C91"/>
    <w:rsid w:val="002119DE"/>
    <w:rsid w:val="00211D4A"/>
    <w:rsid w:val="002124F8"/>
    <w:rsid w:val="002126E4"/>
    <w:rsid w:val="002164E6"/>
    <w:rsid w:val="0021688C"/>
    <w:rsid w:val="00217B15"/>
    <w:rsid w:val="00220DFF"/>
    <w:rsid w:val="0022388D"/>
    <w:rsid w:val="00223DD7"/>
    <w:rsid w:val="0022573A"/>
    <w:rsid w:val="002258BE"/>
    <w:rsid w:val="002259F3"/>
    <w:rsid w:val="002300D2"/>
    <w:rsid w:val="0023044B"/>
    <w:rsid w:val="00230F7C"/>
    <w:rsid w:val="00231DF6"/>
    <w:rsid w:val="00233A4D"/>
    <w:rsid w:val="00234986"/>
    <w:rsid w:val="0024000C"/>
    <w:rsid w:val="002408C7"/>
    <w:rsid w:val="002413F2"/>
    <w:rsid w:val="00243905"/>
    <w:rsid w:val="00244E76"/>
    <w:rsid w:val="002451F0"/>
    <w:rsid w:val="00245AE7"/>
    <w:rsid w:val="002505F1"/>
    <w:rsid w:val="0025061B"/>
    <w:rsid w:val="0025069A"/>
    <w:rsid w:val="00250787"/>
    <w:rsid w:val="002542CB"/>
    <w:rsid w:val="00255BDD"/>
    <w:rsid w:val="00256E48"/>
    <w:rsid w:val="002625B0"/>
    <w:rsid w:val="00263EEA"/>
    <w:rsid w:val="0026452D"/>
    <w:rsid w:val="002650CC"/>
    <w:rsid w:val="0026791E"/>
    <w:rsid w:val="00271031"/>
    <w:rsid w:val="00272B01"/>
    <w:rsid w:val="00274077"/>
    <w:rsid w:val="002812D1"/>
    <w:rsid w:val="00281F47"/>
    <w:rsid w:val="0028292B"/>
    <w:rsid w:val="00282CA0"/>
    <w:rsid w:val="00282E52"/>
    <w:rsid w:val="002839F0"/>
    <w:rsid w:val="00283EDE"/>
    <w:rsid w:val="00286521"/>
    <w:rsid w:val="00286C62"/>
    <w:rsid w:val="00286F35"/>
    <w:rsid w:val="00287DA8"/>
    <w:rsid w:val="00290046"/>
    <w:rsid w:val="00293A7B"/>
    <w:rsid w:val="002948FB"/>
    <w:rsid w:val="002A06A3"/>
    <w:rsid w:val="002A0873"/>
    <w:rsid w:val="002A0A5F"/>
    <w:rsid w:val="002A24E3"/>
    <w:rsid w:val="002A33FB"/>
    <w:rsid w:val="002B1FE8"/>
    <w:rsid w:val="002B297A"/>
    <w:rsid w:val="002B396E"/>
    <w:rsid w:val="002B77E0"/>
    <w:rsid w:val="002B7D5A"/>
    <w:rsid w:val="002B7D88"/>
    <w:rsid w:val="002C0580"/>
    <w:rsid w:val="002C2CC3"/>
    <w:rsid w:val="002C3E22"/>
    <w:rsid w:val="002C5319"/>
    <w:rsid w:val="002C5D03"/>
    <w:rsid w:val="002D06A4"/>
    <w:rsid w:val="002D168F"/>
    <w:rsid w:val="002D31E1"/>
    <w:rsid w:val="002D5D9A"/>
    <w:rsid w:val="002D74E9"/>
    <w:rsid w:val="002E1C37"/>
    <w:rsid w:val="002E31A5"/>
    <w:rsid w:val="002E57BA"/>
    <w:rsid w:val="002E5FA1"/>
    <w:rsid w:val="002E7090"/>
    <w:rsid w:val="002E7CC7"/>
    <w:rsid w:val="002F1CE4"/>
    <w:rsid w:val="002F35B0"/>
    <w:rsid w:val="002F35CE"/>
    <w:rsid w:val="002F44BF"/>
    <w:rsid w:val="002F4C54"/>
    <w:rsid w:val="002F7E24"/>
    <w:rsid w:val="0030009E"/>
    <w:rsid w:val="00300AF5"/>
    <w:rsid w:val="00302F99"/>
    <w:rsid w:val="00303FD8"/>
    <w:rsid w:val="00304B6A"/>
    <w:rsid w:val="003068F7"/>
    <w:rsid w:val="003114BC"/>
    <w:rsid w:val="00311F17"/>
    <w:rsid w:val="00312191"/>
    <w:rsid w:val="003135D5"/>
    <w:rsid w:val="00314AAB"/>
    <w:rsid w:val="0031537E"/>
    <w:rsid w:val="00316AF9"/>
    <w:rsid w:val="00317E3B"/>
    <w:rsid w:val="00320916"/>
    <w:rsid w:val="003217FE"/>
    <w:rsid w:val="00322EEE"/>
    <w:rsid w:val="00323AC0"/>
    <w:rsid w:val="00323C1D"/>
    <w:rsid w:val="00324E67"/>
    <w:rsid w:val="00325E7D"/>
    <w:rsid w:val="00326B2D"/>
    <w:rsid w:val="00331F7B"/>
    <w:rsid w:val="00332370"/>
    <w:rsid w:val="00335CFE"/>
    <w:rsid w:val="00335DD6"/>
    <w:rsid w:val="003367A9"/>
    <w:rsid w:val="00340D24"/>
    <w:rsid w:val="0034159D"/>
    <w:rsid w:val="00344FC9"/>
    <w:rsid w:val="0034570A"/>
    <w:rsid w:val="00345EF7"/>
    <w:rsid w:val="00346B73"/>
    <w:rsid w:val="00347662"/>
    <w:rsid w:val="00347777"/>
    <w:rsid w:val="00350F33"/>
    <w:rsid w:val="0035297C"/>
    <w:rsid w:val="003530A8"/>
    <w:rsid w:val="003537CE"/>
    <w:rsid w:val="00354C6B"/>
    <w:rsid w:val="003559A5"/>
    <w:rsid w:val="003571C6"/>
    <w:rsid w:val="003578C4"/>
    <w:rsid w:val="0036153C"/>
    <w:rsid w:val="00362629"/>
    <w:rsid w:val="00364DDC"/>
    <w:rsid w:val="00365330"/>
    <w:rsid w:val="00365E8D"/>
    <w:rsid w:val="003660A0"/>
    <w:rsid w:val="00366A6E"/>
    <w:rsid w:val="00366AEE"/>
    <w:rsid w:val="00370B30"/>
    <w:rsid w:val="00371C00"/>
    <w:rsid w:val="00373400"/>
    <w:rsid w:val="00373E7B"/>
    <w:rsid w:val="003747E7"/>
    <w:rsid w:val="00375901"/>
    <w:rsid w:val="003805FA"/>
    <w:rsid w:val="0038283F"/>
    <w:rsid w:val="00392021"/>
    <w:rsid w:val="0039255B"/>
    <w:rsid w:val="003943E4"/>
    <w:rsid w:val="0039475E"/>
    <w:rsid w:val="00395DBE"/>
    <w:rsid w:val="00396350"/>
    <w:rsid w:val="00396C3A"/>
    <w:rsid w:val="00397508"/>
    <w:rsid w:val="003A18DE"/>
    <w:rsid w:val="003A301B"/>
    <w:rsid w:val="003A455A"/>
    <w:rsid w:val="003A6A6B"/>
    <w:rsid w:val="003B2D3A"/>
    <w:rsid w:val="003B7E5E"/>
    <w:rsid w:val="003C0861"/>
    <w:rsid w:val="003C2E31"/>
    <w:rsid w:val="003C466E"/>
    <w:rsid w:val="003C4A68"/>
    <w:rsid w:val="003C5F89"/>
    <w:rsid w:val="003C76F2"/>
    <w:rsid w:val="003D155E"/>
    <w:rsid w:val="003D1F0D"/>
    <w:rsid w:val="003D249E"/>
    <w:rsid w:val="003D267C"/>
    <w:rsid w:val="003D7B82"/>
    <w:rsid w:val="003E0FAC"/>
    <w:rsid w:val="003E18A4"/>
    <w:rsid w:val="003E1BA9"/>
    <w:rsid w:val="003E6799"/>
    <w:rsid w:val="003E7081"/>
    <w:rsid w:val="003E73A4"/>
    <w:rsid w:val="003F06C2"/>
    <w:rsid w:val="003F09A4"/>
    <w:rsid w:val="003F2157"/>
    <w:rsid w:val="003F287F"/>
    <w:rsid w:val="003F5B30"/>
    <w:rsid w:val="003F6A27"/>
    <w:rsid w:val="00403604"/>
    <w:rsid w:val="00403D42"/>
    <w:rsid w:val="0040677B"/>
    <w:rsid w:val="00407320"/>
    <w:rsid w:val="00410D5A"/>
    <w:rsid w:val="00411427"/>
    <w:rsid w:val="00413060"/>
    <w:rsid w:val="0041311D"/>
    <w:rsid w:val="00415BBC"/>
    <w:rsid w:val="004162B4"/>
    <w:rsid w:val="00421924"/>
    <w:rsid w:val="00421CAA"/>
    <w:rsid w:val="004220D7"/>
    <w:rsid w:val="00422927"/>
    <w:rsid w:val="00423224"/>
    <w:rsid w:val="0042571B"/>
    <w:rsid w:val="00425F62"/>
    <w:rsid w:val="00426112"/>
    <w:rsid w:val="004264BB"/>
    <w:rsid w:val="00426E15"/>
    <w:rsid w:val="004302B2"/>
    <w:rsid w:val="00431663"/>
    <w:rsid w:val="0043771E"/>
    <w:rsid w:val="00437C12"/>
    <w:rsid w:val="004417D2"/>
    <w:rsid w:val="00441F56"/>
    <w:rsid w:val="00442648"/>
    <w:rsid w:val="00442C09"/>
    <w:rsid w:val="004436B5"/>
    <w:rsid w:val="0044569F"/>
    <w:rsid w:val="0044629F"/>
    <w:rsid w:val="004479E7"/>
    <w:rsid w:val="00450647"/>
    <w:rsid w:val="004518DF"/>
    <w:rsid w:val="00453BA5"/>
    <w:rsid w:val="00454581"/>
    <w:rsid w:val="0045530C"/>
    <w:rsid w:val="0045694A"/>
    <w:rsid w:val="00456C96"/>
    <w:rsid w:val="00462E00"/>
    <w:rsid w:val="00464EAD"/>
    <w:rsid w:val="00465022"/>
    <w:rsid w:val="00465050"/>
    <w:rsid w:val="004652C2"/>
    <w:rsid w:val="004653BC"/>
    <w:rsid w:val="004654E3"/>
    <w:rsid w:val="00465C99"/>
    <w:rsid w:val="0046763A"/>
    <w:rsid w:val="0047028E"/>
    <w:rsid w:val="004712A6"/>
    <w:rsid w:val="004749E0"/>
    <w:rsid w:val="004752FF"/>
    <w:rsid w:val="00476E07"/>
    <w:rsid w:val="00481F91"/>
    <w:rsid w:val="00482417"/>
    <w:rsid w:val="004841BA"/>
    <w:rsid w:val="004857D1"/>
    <w:rsid w:val="00487F0D"/>
    <w:rsid w:val="004911D6"/>
    <w:rsid w:val="004913A9"/>
    <w:rsid w:val="0049176E"/>
    <w:rsid w:val="00491C73"/>
    <w:rsid w:val="004922E8"/>
    <w:rsid w:val="00492E31"/>
    <w:rsid w:val="004A259B"/>
    <w:rsid w:val="004A3273"/>
    <w:rsid w:val="004A3315"/>
    <w:rsid w:val="004A34DC"/>
    <w:rsid w:val="004A3658"/>
    <w:rsid w:val="004A5DB4"/>
    <w:rsid w:val="004B1D67"/>
    <w:rsid w:val="004B2F99"/>
    <w:rsid w:val="004B2FE2"/>
    <w:rsid w:val="004B492F"/>
    <w:rsid w:val="004B5057"/>
    <w:rsid w:val="004B5DDF"/>
    <w:rsid w:val="004B695B"/>
    <w:rsid w:val="004B6D28"/>
    <w:rsid w:val="004B6F61"/>
    <w:rsid w:val="004B763C"/>
    <w:rsid w:val="004C0786"/>
    <w:rsid w:val="004C0DD4"/>
    <w:rsid w:val="004C1C28"/>
    <w:rsid w:val="004C2276"/>
    <w:rsid w:val="004C2EE3"/>
    <w:rsid w:val="004C43C2"/>
    <w:rsid w:val="004C4416"/>
    <w:rsid w:val="004C52F0"/>
    <w:rsid w:val="004C706A"/>
    <w:rsid w:val="004C7A13"/>
    <w:rsid w:val="004C7EDD"/>
    <w:rsid w:val="004D0238"/>
    <w:rsid w:val="004D1184"/>
    <w:rsid w:val="004D295B"/>
    <w:rsid w:val="004D29E0"/>
    <w:rsid w:val="004D2A8B"/>
    <w:rsid w:val="004D3703"/>
    <w:rsid w:val="004D374A"/>
    <w:rsid w:val="004D478F"/>
    <w:rsid w:val="004E389C"/>
    <w:rsid w:val="004E3945"/>
    <w:rsid w:val="004E4406"/>
    <w:rsid w:val="004E5271"/>
    <w:rsid w:val="004E64E5"/>
    <w:rsid w:val="004E6E6B"/>
    <w:rsid w:val="004E70B7"/>
    <w:rsid w:val="004E70F2"/>
    <w:rsid w:val="004E7966"/>
    <w:rsid w:val="004F0934"/>
    <w:rsid w:val="004F1061"/>
    <w:rsid w:val="004F276B"/>
    <w:rsid w:val="004F44AE"/>
    <w:rsid w:val="004F4F8A"/>
    <w:rsid w:val="004F6F14"/>
    <w:rsid w:val="004F7F8D"/>
    <w:rsid w:val="00500409"/>
    <w:rsid w:val="00501320"/>
    <w:rsid w:val="00502EC9"/>
    <w:rsid w:val="00503218"/>
    <w:rsid w:val="00503EB1"/>
    <w:rsid w:val="00505A2C"/>
    <w:rsid w:val="00506508"/>
    <w:rsid w:val="005066D6"/>
    <w:rsid w:val="00507909"/>
    <w:rsid w:val="00511679"/>
    <w:rsid w:val="00511781"/>
    <w:rsid w:val="00512C41"/>
    <w:rsid w:val="00512C75"/>
    <w:rsid w:val="0051401B"/>
    <w:rsid w:val="00514B50"/>
    <w:rsid w:val="00515016"/>
    <w:rsid w:val="005151CF"/>
    <w:rsid w:val="005153B3"/>
    <w:rsid w:val="0051556A"/>
    <w:rsid w:val="00515B64"/>
    <w:rsid w:val="00523341"/>
    <w:rsid w:val="005271EF"/>
    <w:rsid w:val="00527393"/>
    <w:rsid w:val="00530B63"/>
    <w:rsid w:val="00530FD8"/>
    <w:rsid w:val="00531E4C"/>
    <w:rsid w:val="00533CFC"/>
    <w:rsid w:val="00534F24"/>
    <w:rsid w:val="005355BA"/>
    <w:rsid w:val="00535ABE"/>
    <w:rsid w:val="00535F48"/>
    <w:rsid w:val="00536FBB"/>
    <w:rsid w:val="00536FFA"/>
    <w:rsid w:val="00540886"/>
    <w:rsid w:val="00540954"/>
    <w:rsid w:val="0054263F"/>
    <w:rsid w:val="00546E61"/>
    <w:rsid w:val="00547042"/>
    <w:rsid w:val="00553402"/>
    <w:rsid w:val="00553CA4"/>
    <w:rsid w:val="005542FF"/>
    <w:rsid w:val="00554553"/>
    <w:rsid w:val="00561B2A"/>
    <w:rsid w:val="0056355B"/>
    <w:rsid w:val="005637E1"/>
    <w:rsid w:val="0056389F"/>
    <w:rsid w:val="00565C2F"/>
    <w:rsid w:val="00567D02"/>
    <w:rsid w:val="005710D8"/>
    <w:rsid w:val="00571549"/>
    <w:rsid w:val="00571D2C"/>
    <w:rsid w:val="00574BDC"/>
    <w:rsid w:val="0057697E"/>
    <w:rsid w:val="00576C14"/>
    <w:rsid w:val="00577175"/>
    <w:rsid w:val="005779CE"/>
    <w:rsid w:val="00580646"/>
    <w:rsid w:val="00580D28"/>
    <w:rsid w:val="00581CA6"/>
    <w:rsid w:val="005832A3"/>
    <w:rsid w:val="0058359A"/>
    <w:rsid w:val="00583D3E"/>
    <w:rsid w:val="00584A34"/>
    <w:rsid w:val="00587888"/>
    <w:rsid w:val="00587B21"/>
    <w:rsid w:val="0059044D"/>
    <w:rsid w:val="005931F7"/>
    <w:rsid w:val="00595326"/>
    <w:rsid w:val="00596F41"/>
    <w:rsid w:val="00597643"/>
    <w:rsid w:val="0059775D"/>
    <w:rsid w:val="005A025D"/>
    <w:rsid w:val="005A0468"/>
    <w:rsid w:val="005A1482"/>
    <w:rsid w:val="005A509B"/>
    <w:rsid w:val="005A61B1"/>
    <w:rsid w:val="005A68FF"/>
    <w:rsid w:val="005A754A"/>
    <w:rsid w:val="005B2C6F"/>
    <w:rsid w:val="005B30E6"/>
    <w:rsid w:val="005B66BE"/>
    <w:rsid w:val="005B670F"/>
    <w:rsid w:val="005C218F"/>
    <w:rsid w:val="005C3828"/>
    <w:rsid w:val="005C4EC2"/>
    <w:rsid w:val="005C52AA"/>
    <w:rsid w:val="005C6574"/>
    <w:rsid w:val="005C750D"/>
    <w:rsid w:val="005D139D"/>
    <w:rsid w:val="005D1985"/>
    <w:rsid w:val="005D1A14"/>
    <w:rsid w:val="005D3B65"/>
    <w:rsid w:val="005D4F6F"/>
    <w:rsid w:val="005D63E5"/>
    <w:rsid w:val="005D643D"/>
    <w:rsid w:val="005D77C2"/>
    <w:rsid w:val="005E00EA"/>
    <w:rsid w:val="005E11E4"/>
    <w:rsid w:val="005E2612"/>
    <w:rsid w:val="005E2A67"/>
    <w:rsid w:val="005E61F8"/>
    <w:rsid w:val="005F12DA"/>
    <w:rsid w:val="005F1481"/>
    <w:rsid w:val="005F7969"/>
    <w:rsid w:val="0060022A"/>
    <w:rsid w:val="006029CF"/>
    <w:rsid w:val="00603865"/>
    <w:rsid w:val="00603D70"/>
    <w:rsid w:val="00603EBF"/>
    <w:rsid w:val="00603F56"/>
    <w:rsid w:val="0060482A"/>
    <w:rsid w:val="00605E79"/>
    <w:rsid w:val="00605F3D"/>
    <w:rsid w:val="00610840"/>
    <w:rsid w:val="00611222"/>
    <w:rsid w:val="00615D49"/>
    <w:rsid w:val="006169CB"/>
    <w:rsid w:val="006173DD"/>
    <w:rsid w:val="00621F80"/>
    <w:rsid w:val="006242E5"/>
    <w:rsid w:val="00630153"/>
    <w:rsid w:val="006322E9"/>
    <w:rsid w:val="00634A49"/>
    <w:rsid w:val="00635013"/>
    <w:rsid w:val="00635442"/>
    <w:rsid w:val="00635866"/>
    <w:rsid w:val="00637B0D"/>
    <w:rsid w:val="00637B83"/>
    <w:rsid w:val="00637E51"/>
    <w:rsid w:val="00642738"/>
    <w:rsid w:val="00642835"/>
    <w:rsid w:val="0064375F"/>
    <w:rsid w:val="00644E60"/>
    <w:rsid w:val="00646AE8"/>
    <w:rsid w:val="00651232"/>
    <w:rsid w:val="00651BDB"/>
    <w:rsid w:val="00652906"/>
    <w:rsid w:val="00654397"/>
    <w:rsid w:val="006547C7"/>
    <w:rsid w:val="00654BDC"/>
    <w:rsid w:val="00654F80"/>
    <w:rsid w:val="00655547"/>
    <w:rsid w:val="00655BFC"/>
    <w:rsid w:val="00661A80"/>
    <w:rsid w:val="00663132"/>
    <w:rsid w:val="00663914"/>
    <w:rsid w:val="006649AF"/>
    <w:rsid w:val="0066752C"/>
    <w:rsid w:val="00667E4B"/>
    <w:rsid w:val="006704AD"/>
    <w:rsid w:val="00670B97"/>
    <w:rsid w:val="00670C45"/>
    <w:rsid w:val="00670E53"/>
    <w:rsid w:val="006727C6"/>
    <w:rsid w:val="0067624A"/>
    <w:rsid w:val="00676AFF"/>
    <w:rsid w:val="0068082C"/>
    <w:rsid w:val="006826AA"/>
    <w:rsid w:val="0068328D"/>
    <w:rsid w:val="00690265"/>
    <w:rsid w:val="00691014"/>
    <w:rsid w:val="006922FF"/>
    <w:rsid w:val="00692F9F"/>
    <w:rsid w:val="00693F5C"/>
    <w:rsid w:val="006956CE"/>
    <w:rsid w:val="00695EF9"/>
    <w:rsid w:val="00696AE6"/>
    <w:rsid w:val="00696F42"/>
    <w:rsid w:val="006979FE"/>
    <w:rsid w:val="006A2D5F"/>
    <w:rsid w:val="006A3F0F"/>
    <w:rsid w:val="006A4915"/>
    <w:rsid w:val="006A5680"/>
    <w:rsid w:val="006B05E4"/>
    <w:rsid w:val="006B0EA8"/>
    <w:rsid w:val="006B1E7A"/>
    <w:rsid w:val="006B34F1"/>
    <w:rsid w:val="006B3913"/>
    <w:rsid w:val="006B4049"/>
    <w:rsid w:val="006B6DFD"/>
    <w:rsid w:val="006B740A"/>
    <w:rsid w:val="006B7CA1"/>
    <w:rsid w:val="006C0A57"/>
    <w:rsid w:val="006C21CF"/>
    <w:rsid w:val="006C354F"/>
    <w:rsid w:val="006C437D"/>
    <w:rsid w:val="006C50AD"/>
    <w:rsid w:val="006C56D4"/>
    <w:rsid w:val="006C586F"/>
    <w:rsid w:val="006C725F"/>
    <w:rsid w:val="006C7D26"/>
    <w:rsid w:val="006D3EC8"/>
    <w:rsid w:val="006D46D6"/>
    <w:rsid w:val="006D4C07"/>
    <w:rsid w:val="006D5538"/>
    <w:rsid w:val="006D67D7"/>
    <w:rsid w:val="006D6D82"/>
    <w:rsid w:val="006E0B37"/>
    <w:rsid w:val="006E0E3A"/>
    <w:rsid w:val="006E187A"/>
    <w:rsid w:val="006E1F1F"/>
    <w:rsid w:val="006E2329"/>
    <w:rsid w:val="006E2778"/>
    <w:rsid w:val="006E68D8"/>
    <w:rsid w:val="006E7BE7"/>
    <w:rsid w:val="006E7E5E"/>
    <w:rsid w:val="006F1DE1"/>
    <w:rsid w:val="006F22F7"/>
    <w:rsid w:val="006F2BAF"/>
    <w:rsid w:val="006F3971"/>
    <w:rsid w:val="006F6CC2"/>
    <w:rsid w:val="006F7142"/>
    <w:rsid w:val="00701215"/>
    <w:rsid w:val="00701927"/>
    <w:rsid w:val="00702B0F"/>
    <w:rsid w:val="00703282"/>
    <w:rsid w:val="00703DE8"/>
    <w:rsid w:val="00704105"/>
    <w:rsid w:val="00705602"/>
    <w:rsid w:val="007058B0"/>
    <w:rsid w:val="00706520"/>
    <w:rsid w:val="00707235"/>
    <w:rsid w:val="00710246"/>
    <w:rsid w:val="00711035"/>
    <w:rsid w:val="00713048"/>
    <w:rsid w:val="00714258"/>
    <w:rsid w:val="00714461"/>
    <w:rsid w:val="00715046"/>
    <w:rsid w:val="007154B8"/>
    <w:rsid w:val="007160C2"/>
    <w:rsid w:val="0071621A"/>
    <w:rsid w:val="0071647F"/>
    <w:rsid w:val="00716C38"/>
    <w:rsid w:val="00717226"/>
    <w:rsid w:val="00717502"/>
    <w:rsid w:val="0072221F"/>
    <w:rsid w:val="00724576"/>
    <w:rsid w:val="00724E00"/>
    <w:rsid w:val="00725899"/>
    <w:rsid w:val="0073011C"/>
    <w:rsid w:val="00730A46"/>
    <w:rsid w:val="00730A8F"/>
    <w:rsid w:val="00730FE4"/>
    <w:rsid w:val="0073334B"/>
    <w:rsid w:val="00734A34"/>
    <w:rsid w:val="00736B11"/>
    <w:rsid w:val="0074019E"/>
    <w:rsid w:val="00740959"/>
    <w:rsid w:val="00743597"/>
    <w:rsid w:val="00744A96"/>
    <w:rsid w:val="00745D83"/>
    <w:rsid w:val="00747EBC"/>
    <w:rsid w:val="00751B64"/>
    <w:rsid w:val="007552D7"/>
    <w:rsid w:val="007560AB"/>
    <w:rsid w:val="00760352"/>
    <w:rsid w:val="00761ADE"/>
    <w:rsid w:val="00761E9A"/>
    <w:rsid w:val="00763D71"/>
    <w:rsid w:val="00765D4C"/>
    <w:rsid w:val="007663F7"/>
    <w:rsid w:val="007665DC"/>
    <w:rsid w:val="00767CD0"/>
    <w:rsid w:val="007704E4"/>
    <w:rsid w:val="00772095"/>
    <w:rsid w:val="007720DA"/>
    <w:rsid w:val="00772528"/>
    <w:rsid w:val="00772F1C"/>
    <w:rsid w:val="007735BF"/>
    <w:rsid w:val="0077446B"/>
    <w:rsid w:val="007758DD"/>
    <w:rsid w:val="00775E80"/>
    <w:rsid w:val="007763C2"/>
    <w:rsid w:val="00776434"/>
    <w:rsid w:val="007775D5"/>
    <w:rsid w:val="007801BA"/>
    <w:rsid w:val="00780660"/>
    <w:rsid w:val="00780676"/>
    <w:rsid w:val="0078116D"/>
    <w:rsid w:val="00781273"/>
    <w:rsid w:val="00781561"/>
    <w:rsid w:val="00782EC4"/>
    <w:rsid w:val="00783A4E"/>
    <w:rsid w:val="00785C25"/>
    <w:rsid w:val="00791824"/>
    <w:rsid w:val="0079195C"/>
    <w:rsid w:val="0079222A"/>
    <w:rsid w:val="00792529"/>
    <w:rsid w:val="00793042"/>
    <w:rsid w:val="00793B23"/>
    <w:rsid w:val="00794708"/>
    <w:rsid w:val="0079485E"/>
    <w:rsid w:val="00794B0E"/>
    <w:rsid w:val="007961AE"/>
    <w:rsid w:val="007963D2"/>
    <w:rsid w:val="007A1F8F"/>
    <w:rsid w:val="007A20D2"/>
    <w:rsid w:val="007A3462"/>
    <w:rsid w:val="007A4E43"/>
    <w:rsid w:val="007A5582"/>
    <w:rsid w:val="007A7DDA"/>
    <w:rsid w:val="007B0035"/>
    <w:rsid w:val="007B0303"/>
    <w:rsid w:val="007B0C77"/>
    <w:rsid w:val="007B1FA2"/>
    <w:rsid w:val="007B2AE4"/>
    <w:rsid w:val="007B391F"/>
    <w:rsid w:val="007B575A"/>
    <w:rsid w:val="007B6644"/>
    <w:rsid w:val="007B787D"/>
    <w:rsid w:val="007C13AD"/>
    <w:rsid w:val="007C1AB7"/>
    <w:rsid w:val="007C3342"/>
    <w:rsid w:val="007C358E"/>
    <w:rsid w:val="007C5199"/>
    <w:rsid w:val="007C5B1E"/>
    <w:rsid w:val="007C5E05"/>
    <w:rsid w:val="007C656F"/>
    <w:rsid w:val="007C6CB0"/>
    <w:rsid w:val="007C71FF"/>
    <w:rsid w:val="007C7535"/>
    <w:rsid w:val="007D06BA"/>
    <w:rsid w:val="007D132B"/>
    <w:rsid w:val="007D15E8"/>
    <w:rsid w:val="007D53FF"/>
    <w:rsid w:val="007D689D"/>
    <w:rsid w:val="007E06F7"/>
    <w:rsid w:val="007E0A27"/>
    <w:rsid w:val="007E26FC"/>
    <w:rsid w:val="007E3665"/>
    <w:rsid w:val="007E3863"/>
    <w:rsid w:val="007E4D57"/>
    <w:rsid w:val="007E7051"/>
    <w:rsid w:val="007E7875"/>
    <w:rsid w:val="007F1BDF"/>
    <w:rsid w:val="007F226E"/>
    <w:rsid w:val="007F4FCA"/>
    <w:rsid w:val="007F57BB"/>
    <w:rsid w:val="007F5D57"/>
    <w:rsid w:val="007F6A3C"/>
    <w:rsid w:val="007F7303"/>
    <w:rsid w:val="008022B4"/>
    <w:rsid w:val="00805079"/>
    <w:rsid w:val="00805570"/>
    <w:rsid w:val="00807498"/>
    <w:rsid w:val="00815722"/>
    <w:rsid w:val="00817954"/>
    <w:rsid w:val="008211C7"/>
    <w:rsid w:val="0082423F"/>
    <w:rsid w:val="00825878"/>
    <w:rsid w:val="00825CF4"/>
    <w:rsid w:val="00826253"/>
    <w:rsid w:val="008276CE"/>
    <w:rsid w:val="008301A5"/>
    <w:rsid w:val="00830334"/>
    <w:rsid w:val="00831346"/>
    <w:rsid w:val="00831F7E"/>
    <w:rsid w:val="00832226"/>
    <w:rsid w:val="00832B89"/>
    <w:rsid w:val="00833B95"/>
    <w:rsid w:val="00835D64"/>
    <w:rsid w:val="00836172"/>
    <w:rsid w:val="0083618A"/>
    <w:rsid w:val="00836493"/>
    <w:rsid w:val="00836794"/>
    <w:rsid w:val="008372D8"/>
    <w:rsid w:val="00837FA3"/>
    <w:rsid w:val="00837FF3"/>
    <w:rsid w:val="00841340"/>
    <w:rsid w:val="00844080"/>
    <w:rsid w:val="00851AB9"/>
    <w:rsid w:val="00851F8C"/>
    <w:rsid w:val="008543A0"/>
    <w:rsid w:val="008545C8"/>
    <w:rsid w:val="00854CF7"/>
    <w:rsid w:val="00854D07"/>
    <w:rsid w:val="00854F4B"/>
    <w:rsid w:val="00855395"/>
    <w:rsid w:val="0085645C"/>
    <w:rsid w:val="00862DBF"/>
    <w:rsid w:val="00862E8B"/>
    <w:rsid w:val="00862F7D"/>
    <w:rsid w:val="00863857"/>
    <w:rsid w:val="00863B91"/>
    <w:rsid w:val="00865075"/>
    <w:rsid w:val="0086554A"/>
    <w:rsid w:val="00865832"/>
    <w:rsid w:val="0086601F"/>
    <w:rsid w:val="00870A29"/>
    <w:rsid w:val="00871494"/>
    <w:rsid w:val="0087568E"/>
    <w:rsid w:val="00875855"/>
    <w:rsid w:val="008811DE"/>
    <w:rsid w:val="008815C2"/>
    <w:rsid w:val="0088296D"/>
    <w:rsid w:val="00885207"/>
    <w:rsid w:val="0088527F"/>
    <w:rsid w:val="008858A0"/>
    <w:rsid w:val="008916FE"/>
    <w:rsid w:val="00892206"/>
    <w:rsid w:val="008932F8"/>
    <w:rsid w:val="0089502F"/>
    <w:rsid w:val="00895EEF"/>
    <w:rsid w:val="008968DF"/>
    <w:rsid w:val="0089692F"/>
    <w:rsid w:val="00896B5D"/>
    <w:rsid w:val="00896C33"/>
    <w:rsid w:val="008A3D66"/>
    <w:rsid w:val="008A3F50"/>
    <w:rsid w:val="008A6099"/>
    <w:rsid w:val="008A610C"/>
    <w:rsid w:val="008A6D18"/>
    <w:rsid w:val="008A7E48"/>
    <w:rsid w:val="008B00C3"/>
    <w:rsid w:val="008B1DED"/>
    <w:rsid w:val="008B3A9D"/>
    <w:rsid w:val="008B4DEF"/>
    <w:rsid w:val="008B6EF8"/>
    <w:rsid w:val="008B7B88"/>
    <w:rsid w:val="008C1A83"/>
    <w:rsid w:val="008C1B43"/>
    <w:rsid w:val="008C2401"/>
    <w:rsid w:val="008C26BE"/>
    <w:rsid w:val="008C2B6F"/>
    <w:rsid w:val="008C3C7A"/>
    <w:rsid w:val="008C462A"/>
    <w:rsid w:val="008D096F"/>
    <w:rsid w:val="008D1439"/>
    <w:rsid w:val="008D2034"/>
    <w:rsid w:val="008D2C1E"/>
    <w:rsid w:val="008D3DA7"/>
    <w:rsid w:val="008D5997"/>
    <w:rsid w:val="008D6E1A"/>
    <w:rsid w:val="008D73D6"/>
    <w:rsid w:val="008E0126"/>
    <w:rsid w:val="008E4957"/>
    <w:rsid w:val="008E660A"/>
    <w:rsid w:val="008E680D"/>
    <w:rsid w:val="008E7179"/>
    <w:rsid w:val="008E7D1A"/>
    <w:rsid w:val="008E7FC0"/>
    <w:rsid w:val="008F23B7"/>
    <w:rsid w:val="008F2692"/>
    <w:rsid w:val="008F34A8"/>
    <w:rsid w:val="008F4412"/>
    <w:rsid w:val="008F4CE0"/>
    <w:rsid w:val="00900A3B"/>
    <w:rsid w:val="00900BF2"/>
    <w:rsid w:val="00900EA8"/>
    <w:rsid w:val="009046C7"/>
    <w:rsid w:val="009129A6"/>
    <w:rsid w:val="00913FAD"/>
    <w:rsid w:val="009143AD"/>
    <w:rsid w:val="00914751"/>
    <w:rsid w:val="009162B1"/>
    <w:rsid w:val="0091662E"/>
    <w:rsid w:val="0091663B"/>
    <w:rsid w:val="009166DD"/>
    <w:rsid w:val="00916CE1"/>
    <w:rsid w:val="009231C3"/>
    <w:rsid w:val="00924396"/>
    <w:rsid w:val="00924B42"/>
    <w:rsid w:val="00925ED6"/>
    <w:rsid w:val="009264FC"/>
    <w:rsid w:val="00927781"/>
    <w:rsid w:val="00931A4B"/>
    <w:rsid w:val="00932E40"/>
    <w:rsid w:val="009330A8"/>
    <w:rsid w:val="00933C1E"/>
    <w:rsid w:val="0093676A"/>
    <w:rsid w:val="00936B42"/>
    <w:rsid w:val="00937065"/>
    <w:rsid w:val="00937238"/>
    <w:rsid w:val="00937686"/>
    <w:rsid w:val="00937833"/>
    <w:rsid w:val="009438CC"/>
    <w:rsid w:val="009439FA"/>
    <w:rsid w:val="00944BD0"/>
    <w:rsid w:val="0094762D"/>
    <w:rsid w:val="00950D51"/>
    <w:rsid w:val="00952343"/>
    <w:rsid w:val="00954893"/>
    <w:rsid w:val="009555C2"/>
    <w:rsid w:val="00957A08"/>
    <w:rsid w:val="0096038A"/>
    <w:rsid w:val="0096089A"/>
    <w:rsid w:val="00961025"/>
    <w:rsid w:val="009618A0"/>
    <w:rsid w:val="00963EEC"/>
    <w:rsid w:val="00963EFA"/>
    <w:rsid w:val="00964518"/>
    <w:rsid w:val="00964BD5"/>
    <w:rsid w:val="00966FAD"/>
    <w:rsid w:val="00970875"/>
    <w:rsid w:val="0097160A"/>
    <w:rsid w:val="009733BE"/>
    <w:rsid w:val="0097413E"/>
    <w:rsid w:val="00974AF6"/>
    <w:rsid w:val="00976620"/>
    <w:rsid w:val="00976DDB"/>
    <w:rsid w:val="00983BE9"/>
    <w:rsid w:val="00983D3B"/>
    <w:rsid w:val="00986AFE"/>
    <w:rsid w:val="00990928"/>
    <w:rsid w:val="00990C17"/>
    <w:rsid w:val="00991F66"/>
    <w:rsid w:val="00992489"/>
    <w:rsid w:val="00994405"/>
    <w:rsid w:val="00994727"/>
    <w:rsid w:val="0099520B"/>
    <w:rsid w:val="0099551D"/>
    <w:rsid w:val="00996315"/>
    <w:rsid w:val="00996B12"/>
    <w:rsid w:val="00996F15"/>
    <w:rsid w:val="009975A1"/>
    <w:rsid w:val="009A0F05"/>
    <w:rsid w:val="009A0FD0"/>
    <w:rsid w:val="009A1AFC"/>
    <w:rsid w:val="009A380A"/>
    <w:rsid w:val="009A505A"/>
    <w:rsid w:val="009A6855"/>
    <w:rsid w:val="009A7287"/>
    <w:rsid w:val="009B1B6D"/>
    <w:rsid w:val="009B2583"/>
    <w:rsid w:val="009B403B"/>
    <w:rsid w:val="009B442F"/>
    <w:rsid w:val="009B4A7D"/>
    <w:rsid w:val="009B5180"/>
    <w:rsid w:val="009B7B2C"/>
    <w:rsid w:val="009B7FAB"/>
    <w:rsid w:val="009C180F"/>
    <w:rsid w:val="009C337C"/>
    <w:rsid w:val="009C37AF"/>
    <w:rsid w:val="009C453D"/>
    <w:rsid w:val="009D070F"/>
    <w:rsid w:val="009D1205"/>
    <w:rsid w:val="009D2620"/>
    <w:rsid w:val="009D359C"/>
    <w:rsid w:val="009D383B"/>
    <w:rsid w:val="009D7BDF"/>
    <w:rsid w:val="009E36F5"/>
    <w:rsid w:val="009E4002"/>
    <w:rsid w:val="009E4551"/>
    <w:rsid w:val="009E4BF8"/>
    <w:rsid w:val="009E5706"/>
    <w:rsid w:val="009E58F6"/>
    <w:rsid w:val="009E6C8B"/>
    <w:rsid w:val="009F060E"/>
    <w:rsid w:val="009F156E"/>
    <w:rsid w:val="009F2C67"/>
    <w:rsid w:val="009F36BA"/>
    <w:rsid w:val="009F3F82"/>
    <w:rsid w:val="009F49D2"/>
    <w:rsid w:val="009F4A3A"/>
    <w:rsid w:val="00A007F6"/>
    <w:rsid w:val="00A015CC"/>
    <w:rsid w:val="00A01601"/>
    <w:rsid w:val="00A017E3"/>
    <w:rsid w:val="00A01B5B"/>
    <w:rsid w:val="00A01BF9"/>
    <w:rsid w:val="00A04009"/>
    <w:rsid w:val="00A04FC5"/>
    <w:rsid w:val="00A054B6"/>
    <w:rsid w:val="00A05AE2"/>
    <w:rsid w:val="00A06955"/>
    <w:rsid w:val="00A072DD"/>
    <w:rsid w:val="00A12B15"/>
    <w:rsid w:val="00A153C5"/>
    <w:rsid w:val="00A16D0C"/>
    <w:rsid w:val="00A16D7E"/>
    <w:rsid w:val="00A20355"/>
    <w:rsid w:val="00A2288B"/>
    <w:rsid w:val="00A23223"/>
    <w:rsid w:val="00A238E2"/>
    <w:rsid w:val="00A2546C"/>
    <w:rsid w:val="00A258B9"/>
    <w:rsid w:val="00A2591B"/>
    <w:rsid w:val="00A26665"/>
    <w:rsid w:val="00A27022"/>
    <w:rsid w:val="00A27AED"/>
    <w:rsid w:val="00A27DE5"/>
    <w:rsid w:val="00A30034"/>
    <w:rsid w:val="00A30BC7"/>
    <w:rsid w:val="00A32E6A"/>
    <w:rsid w:val="00A35400"/>
    <w:rsid w:val="00A35C49"/>
    <w:rsid w:val="00A367BB"/>
    <w:rsid w:val="00A377E7"/>
    <w:rsid w:val="00A37DBF"/>
    <w:rsid w:val="00A4036B"/>
    <w:rsid w:val="00A40530"/>
    <w:rsid w:val="00A416E1"/>
    <w:rsid w:val="00A44F50"/>
    <w:rsid w:val="00A452A8"/>
    <w:rsid w:val="00A46C74"/>
    <w:rsid w:val="00A474E2"/>
    <w:rsid w:val="00A515BE"/>
    <w:rsid w:val="00A5184B"/>
    <w:rsid w:val="00A5513A"/>
    <w:rsid w:val="00A576CA"/>
    <w:rsid w:val="00A60053"/>
    <w:rsid w:val="00A64DCC"/>
    <w:rsid w:val="00A6534D"/>
    <w:rsid w:val="00A66A27"/>
    <w:rsid w:val="00A66BC4"/>
    <w:rsid w:val="00A67001"/>
    <w:rsid w:val="00A673DF"/>
    <w:rsid w:val="00A701B9"/>
    <w:rsid w:val="00A704A1"/>
    <w:rsid w:val="00A70A09"/>
    <w:rsid w:val="00A73793"/>
    <w:rsid w:val="00A740AB"/>
    <w:rsid w:val="00A74782"/>
    <w:rsid w:val="00A7560C"/>
    <w:rsid w:val="00A776BD"/>
    <w:rsid w:val="00A81CDA"/>
    <w:rsid w:val="00A83776"/>
    <w:rsid w:val="00A840B7"/>
    <w:rsid w:val="00A84138"/>
    <w:rsid w:val="00A84DFF"/>
    <w:rsid w:val="00A8604C"/>
    <w:rsid w:val="00A86072"/>
    <w:rsid w:val="00A90777"/>
    <w:rsid w:val="00A920D0"/>
    <w:rsid w:val="00A92BF5"/>
    <w:rsid w:val="00A92CA5"/>
    <w:rsid w:val="00A95D4D"/>
    <w:rsid w:val="00A965AC"/>
    <w:rsid w:val="00A97570"/>
    <w:rsid w:val="00A9766A"/>
    <w:rsid w:val="00AA3688"/>
    <w:rsid w:val="00AA488B"/>
    <w:rsid w:val="00AA6471"/>
    <w:rsid w:val="00AA7A72"/>
    <w:rsid w:val="00AB1008"/>
    <w:rsid w:val="00AB3417"/>
    <w:rsid w:val="00AB3B50"/>
    <w:rsid w:val="00AB7903"/>
    <w:rsid w:val="00AC060F"/>
    <w:rsid w:val="00AC1072"/>
    <w:rsid w:val="00AC1B1A"/>
    <w:rsid w:val="00AC25C5"/>
    <w:rsid w:val="00AC2720"/>
    <w:rsid w:val="00AC2BBE"/>
    <w:rsid w:val="00AC503B"/>
    <w:rsid w:val="00AC5C9E"/>
    <w:rsid w:val="00AC63C2"/>
    <w:rsid w:val="00AD0A79"/>
    <w:rsid w:val="00AD1467"/>
    <w:rsid w:val="00AD166F"/>
    <w:rsid w:val="00AD206E"/>
    <w:rsid w:val="00AD23B5"/>
    <w:rsid w:val="00AD31FF"/>
    <w:rsid w:val="00AD3EC6"/>
    <w:rsid w:val="00AD7331"/>
    <w:rsid w:val="00AD740C"/>
    <w:rsid w:val="00AE1663"/>
    <w:rsid w:val="00AE2D2E"/>
    <w:rsid w:val="00AE44C7"/>
    <w:rsid w:val="00AE65C7"/>
    <w:rsid w:val="00AE6E44"/>
    <w:rsid w:val="00AE7110"/>
    <w:rsid w:val="00AF0600"/>
    <w:rsid w:val="00AF12CE"/>
    <w:rsid w:val="00AF4DCE"/>
    <w:rsid w:val="00AF57BA"/>
    <w:rsid w:val="00AF6FEF"/>
    <w:rsid w:val="00B00C9F"/>
    <w:rsid w:val="00B01B8C"/>
    <w:rsid w:val="00B01E33"/>
    <w:rsid w:val="00B01FA2"/>
    <w:rsid w:val="00B02BD4"/>
    <w:rsid w:val="00B02D76"/>
    <w:rsid w:val="00B02FD6"/>
    <w:rsid w:val="00B03A0E"/>
    <w:rsid w:val="00B04775"/>
    <w:rsid w:val="00B06C0E"/>
    <w:rsid w:val="00B106F1"/>
    <w:rsid w:val="00B125C6"/>
    <w:rsid w:val="00B12FC9"/>
    <w:rsid w:val="00B17272"/>
    <w:rsid w:val="00B17BF6"/>
    <w:rsid w:val="00B17DB7"/>
    <w:rsid w:val="00B200EB"/>
    <w:rsid w:val="00B20965"/>
    <w:rsid w:val="00B20BA2"/>
    <w:rsid w:val="00B21829"/>
    <w:rsid w:val="00B2225A"/>
    <w:rsid w:val="00B2367C"/>
    <w:rsid w:val="00B239AC"/>
    <w:rsid w:val="00B30B24"/>
    <w:rsid w:val="00B37CD4"/>
    <w:rsid w:val="00B4351F"/>
    <w:rsid w:val="00B43EEE"/>
    <w:rsid w:val="00B442FD"/>
    <w:rsid w:val="00B456E6"/>
    <w:rsid w:val="00B45843"/>
    <w:rsid w:val="00B458E8"/>
    <w:rsid w:val="00B45B4B"/>
    <w:rsid w:val="00B469AA"/>
    <w:rsid w:val="00B469DA"/>
    <w:rsid w:val="00B46CAD"/>
    <w:rsid w:val="00B4763C"/>
    <w:rsid w:val="00B502B8"/>
    <w:rsid w:val="00B51C5A"/>
    <w:rsid w:val="00B52653"/>
    <w:rsid w:val="00B5452D"/>
    <w:rsid w:val="00B55AD9"/>
    <w:rsid w:val="00B56A3A"/>
    <w:rsid w:val="00B56F0F"/>
    <w:rsid w:val="00B577A0"/>
    <w:rsid w:val="00B609AC"/>
    <w:rsid w:val="00B64016"/>
    <w:rsid w:val="00B64071"/>
    <w:rsid w:val="00B64447"/>
    <w:rsid w:val="00B647F0"/>
    <w:rsid w:val="00B6523D"/>
    <w:rsid w:val="00B65BC4"/>
    <w:rsid w:val="00B66F3F"/>
    <w:rsid w:val="00B6730E"/>
    <w:rsid w:val="00B70651"/>
    <w:rsid w:val="00B7066A"/>
    <w:rsid w:val="00B70D20"/>
    <w:rsid w:val="00B70D82"/>
    <w:rsid w:val="00B7297A"/>
    <w:rsid w:val="00B73C53"/>
    <w:rsid w:val="00B73E64"/>
    <w:rsid w:val="00B74CC4"/>
    <w:rsid w:val="00B751AC"/>
    <w:rsid w:val="00B813F7"/>
    <w:rsid w:val="00B8162E"/>
    <w:rsid w:val="00B83BD3"/>
    <w:rsid w:val="00B8411A"/>
    <w:rsid w:val="00B84236"/>
    <w:rsid w:val="00B8651B"/>
    <w:rsid w:val="00B87202"/>
    <w:rsid w:val="00B92EEF"/>
    <w:rsid w:val="00B9498D"/>
    <w:rsid w:val="00B95539"/>
    <w:rsid w:val="00B95576"/>
    <w:rsid w:val="00B95D5C"/>
    <w:rsid w:val="00BA0703"/>
    <w:rsid w:val="00BA1DC7"/>
    <w:rsid w:val="00BA1EEA"/>
    <w:rsid w:val="00BA1F3F"/>
    <w:rsid w:val="00BA5197"/>
    <w:rsid w:val="00BA7DC9"/>
    <w:rsid w:val="00BA7F59"/>
    <w:rsid w:val="00BB0E78"/>
    <w:rsid w:val="00BB3010"/>
    <w:rsid w:val="00BB32A6"/>
    <w:rsid w:val="00BB5941"/>
    <w:rsid w:val="00BC07C4"/>
    <w:rsid w:val="00BC5A83"/>
    <w:rsid w:val="00BC65CF"/>
    <w:rsid w:val="00BC6E1A"/>
    <w:rsid w:val="00BC7528"/>
    <w:rsid w:val="00BD01D8"/>
    <w:rsid w:val="00BD0B36"/>
    <w:rsid w:val="00BD2883"/>
    <w:rsid w:val="00BD2F3A"/>
    <w:rsid w:val="00BD340D"/>
    <w:rsid w:val="00BD379E"/>
    <w:rsid w:val="00BD4D3C"/>
    <w:rsid w:val="00BD5A63"/>
    <w:rsid w:val="00BD64A0"/>
    <w:rsid w:val="00BD7E6C"/>
    <w:rsid w:val="00BE2605"/>
    <w:rsid w:val="00BE31A9"/>
    <w:rsid w:val="00BE3356"/>
    <w:rsid w:val="00BE3EFA"/>
    <w:rsid w:val="00BE3FD1"/>
    <w:rsid w:val="00BE420B"/>
    <w:rsid w:val="00BE61CB"/>
    <w:rsid w:val="00BE6D37"/>
    <w:rsid w:val="00BE77A0"/>
    <w:rsid w:val="00BF00D1"/>
    <w:rsid w:val="00BF1443"/>
    <w:rsid w:val="00BF218B"/>
    <w:rsid w:val="00BF5693"/>
    <w:rsid w:val="00BF6B30"/>
    <w:rsid w:val="00C0094D"/>
    <w:rsid w:val="00C01074"/>
    <w:rsid w:val="00C013C1"/>
    <w:rsid w:val="00C04709"/>
    <w:rsid w:val="00C05F81"/>
    <w:rsid w:val="00C10A05"/>
    <w:rsid w:val="00C1155C"/>
    <w:rsid w:val="00C11F23"/>
    <w:rsid w:val="00C1309D"/>
    <w:rsid w:val="00C13172"/>
    <w:rsid w:val="00C131F4"/>
    <w:rsid w:val="00C1359A"/>
    <w:rsid w:val="00C14011"/>
    <w:rsid w:val="00C168DF"/>
    <w:rsid w:val="00C17131"/>
    <w:rsid w:val="00C17C5B"/>
    <w:rsid w:val="00C223A6"/>
    <w:rsid w:val="00C225DA"/>
    <w:rsid w:val="00C246B2"/>
    <w:rsid w:val="00C2645A"/>
    <w:rsid w:val="00C26AEC"/>
    <w:rsid w:val="00C3143C"/>
    <w:rsid w:val="00C31874"/>
    <w:rsid w:val="00C32831"/>
    <w:rsid w:val="00C328B4"/>
    <w:rsid w:val="00C32C92"/>
    <w:rsid w:val="00C32FFA"/>
    <w:rsid w:val="00C34503"/>
    <w:rsid w:val="00C3484D"/>
    <w:rsid w:val="00C3686A"/>
    <w:rsid w:val="00C416B4"/>
    <w:rsid w:val="00C42B0F"/>
    <w:rsid w:val="00C43FD5"/>
    <w:rsid w:val="00C4722F"/>
    <w:rsid w:val="00C47746"/>
    <w:rsid w:val="00C5180D"/>
    <w:rsid w:val="00C52762"/>
    <w:rsid w:val="00C5277C"/>
    <w:rsid w:val="00C529E0"/>
    <w:rsid w:val="00C53690"/>
    <w:rsid w:val="00C55C09"/>
    <w:rsid w:val="00C63DD6"/>
    <w:rsid w:val="00C64229"/>
    <w:rsid w:val="00C64DE5"/>
    <w:rsid w:val="00C65C59"/>
    <w:rsid w:val="00C66C06"/>
    <w:rsid w:val="00C67424"/>
    <w:rsid w:val="00C70D3A"/>
    <w:rsid w:val="00C71337"/>
    <w:rsid w:val="00C73986"/>
    <w:rsid w:val="00C757AB"/>
    <w:rsid w:val="00C76F63"/>
    <w:rsid w:val="00C76F6E"/>
    <w:rsid w:val="00C80C79"/>
    <w:rsid w:val="00C86B55"/>
    <w:rsid w:val="00C87C49"/>
    <w:rsid w:val="00C9247C"/>
    <w:rsid w:val="00C92DD1"/>
    <w:rsid w:val="00C93043"/>
    <w:rsid w:val="00C93371"/>
    <w:rsid w:val="00C93753"/>
    <w:rsid w:val="00C93FA6"/>
    <w:rsid w:val="00C94DED"/>
    <w:rsid w:val="00C9534C"/>
    <w:rsid w:val="00C955FD"/>
    <w:rsid w:val="00C956CE"/>
    <w:rsid w:val="00C95CA7"/>
    <w:rsid w:val="00CA4760"/>
    <w:rsid w:val="00CA492F"/>
    <w:rsid w:val="00CA73FC"/>
    <w:rsid w:val="00CA7531"/>
    <w:rsid w:val="00CA7FAB"/>
    <w:rsid w:val="00CB0705"/>
    <w:rsid w:val="00CB1755"/>
    <w:rsid w:val="00CB270A"/>
    <w:rsid w:val="00CB2862"/>
    <w:rsid w:val="00CB3A3F"/>
    <w:rsid w:val="00CB4055"/>
    <w:rsid w:val="00CB4B99"/>
    <w:rsid w:val="00CB5273"/>
    <w:rsid w:val="00CB6372"/>
    <w:rsid w:val="00CB6D4F"/>
    <w:rsid w:val="00CB7334"/>
    <w:rsid w:val="00CB762B"/>
    <w:rsid w:val="00CC1C7B"/>
    <w:rsid w:val="00CC3FC1"/>
    <w:rsid w:val="00CC459D"/>
    <w:rsid w:val="00CC5470"/>
    <w:rsid w:val="00CC675A"/>
    <w:rsid w:val="00CC77E4"/>
    <w:rsid w:val="00CD1311"/>
    <w:rsid w:val="00CD2B04"/>
    <w:rsid w:val="00CD2FC9"/>
    <w:rsid w:val="00CD402C"/>
    <w:rsid w:val="00CD577E"/>
    <w:rsid w:val="00CD6DAE"/>
    <w:rsid w:val="00CD75FC"/>
    <w:rsid w:val="00CE1BD5"/>
    <w:rsid w:val="00CE2B07"/>
    <w:rsid w:val="00CE2BA3"/>
    <w:rsid w:val="00CE345A"/>
    <w:rsid w:val="00CE347F"/>
    <w:rsid w:val="00CE37AE"/>
    <w:rsid w:val="00CE4226"/>
    <w:rsid w:val="00CE4635"/>
    <w:rsid w:val="00CE62A6"/>
    <w:rsid w:val="00CE6E1C"/>
    <w:rsid w:val="00CE6F1A"/>
    <w:rsid w:val="00CF06D8"/>
    <w:rsid w:val="00CF0C98"/>
    <w:rsid w:val="00CF15D2"/>
    <w:rsid w:val="00CF19ED"/>
    <w:rsid w:val="00CF24E8"/>
    <w:rsid w:val="00CF323E"/>
    <w:rsid w:val="00CF5563"/>
    <w:rsid w:val="00CF557B"/>
    <w:rsid w:val="00CF68CF"/>
    <w:rsid w:val="00CF6D0B"/>
    <w:rsid w:val="00CF6E0E"/>
    <w:rsid w:val="00D03BF8"/>
    <w:rsid w:val="00D0463D"/>
    <w:rsid w:val="00D05E84"/>
    <w:rsid w:val="00D0755A"/>
    <w:rsid w:val="00D102A1"/>
    <w:rsid w:val="00D13030"/>
    <w:rsid w:val="00D1598E"/>
    <w:rsid w:val="00D15E68"/>
    <w:rsid w:val="00D16793"/>
    <w:rsid w:val="00D169B5"/>
    <w:rsid w:val="00D169FF"/>
    <w:rsid w:val="00D16DFA"/>
    <w:rsid w:val="00D17298"/>
    <w:rsid w:val="00D178B5"/>
    <w:rsid w:val="00D17C24"/>
    <w:rsid w:val="00D17F75"/>
    <w:rsid w:val="00D21E65"/>
    <w:rsid w:val="00D24D44"/>
    <w:rsid w:val="00D25252"/>
    <w:rsid w:val="00D266DE"/>
    <w:rsid w:val="00D3466E"/>
    <w:rsid w:val="00D368F2"/>
    <w:rsid w:val="00D3723C"/>
    <w:rsid w:val="00D40841"/>
    <w:rsid w:val="00D42135"/>
    <w:rsid w:val="00D424BE"/>
    <w:rsid w:val="00D4292D"/>
    <w:rsid w:val="00D42C95"/>
    <w:rsid w:val="00D459F0"/>
    <w:rsid w:val="00D45D6F"/>
    <w:rsid w:val="00D47149"/>
    <w:rsid w:val="00D50FA6"/>
    <w:rsid w:val="00D51A0A"/>
    <w:rsid w:val="00D55870"/>
    <w:rsid w:val="00D55A19"/>
    <w:rsid w:val="00D56065"/>
    <w:rsid w:val="00D56E35"/>
    <w:rsid w:val="00D648E2"/>
    <w:rsid w:val="00D64FD7"/>
    <w:rsid w:val="00D71634"/>
    <w:rsid w:val="00D7191C"/>
    <w:rsid w:val="00D73F72"/>
    <w:rsid w:val="00D7599C"/>
    <w:rsid w:val="00D76371"/>
    <w:rsid w:val="00D77CED"/>
    <w:rsid w:val="00D812C2"/>
    <w:rsid w:val="00D832B1"/>
    <w:rsid w:val="00D83465"/>
    <w:rsid w:val="00D84D01"/>
    <w:rsid w:val="00D85E48"/>
    <w:rsid w:val="00D86446"/>
    <w:rsid w:val="00D8687A"/>
    <w:rsid w:val="00D87B48"/>
    <w:rsid w:val="00D90372"/>
    <w:rsid w:val="00D91166"/>
    <w:rsid w:val="00D91860"/>
    <w:rsid w:val="00D93A70"/>
    <w:rsid w:val="00D96177"/>
    <w:rsid w:val="00D978A4"/>
    <w:rsid w:val="00DA2937"/>
    <w:rsid w:val="00DA2D89"/>
    <w:rsid w:val="00DA4074"/>
    <w:rsid w:val="00DA7F8B"/>
    <w:rsid w:val="00DB0F91"/>
    <w:rsid w:val="00DB19C9"/>
    <w:rsid w:val="00DB4163"/>
    <w:rsid w:val="00DB41C9"/>
    <w:rsid w:val="00DB6A59"/>
    <w:rsid w:val="00DB6BC7"/>
    <w:rsid w:val="00DB774F"/>
    <w:rsid w:val="00DC1450"/>
    <w:rsid w:val="00DC2B97"/>
    <w:rsid w:val="00DC44DA"/>
    <w:rsid w:val="00DC4B28"/>
    <w:rsid w:val="00DC4EC1"/>
    <w:rsid w:val="00DC5128"/>
    <w:rsid w:val="00DC5214"/>
    <w:rsid w:val="00DC6637"/>
    <w:rsid w:val="00DC7074"/>
    <w:rsid w:val="00DC740A"/>
    <w:rsid w:val="00DD0114"/>
    <w:rsid w:val="00DD0B94"/>
    <w:rsid w:val="00DD0FB7"/>
    <w:rsid w:val="00DD1A38"/>
    <w:rsid w:val="00DD4895"/>
    <w:rsid w:val="00DD4BE5"/>
    <w:rsid w:val="00DD5971"/>
    <w:rsid w:val="00DD645D"/>
    <w:rsid w:val="00DD7008"/>
    <w:rsid w:val="00DE2A29"/>
    <w:rsid w:val="00DE2A35"/>
    <w:rsid w:val="00DE33C4"/>
    <w:rsid w:val="00DE4EA1"/>
    <w:rsid w:val="00DE6462"/>
    <w:rsid w:val="00DE74F0"/>
    <w:rsid w:val="00DE75A9"/>
    <w:rsid w:val="00DF50C7"/>
    <w:rsid w:val="00DF5C48"/>
    <w:rsid w:val="00DF656B"/>
    <w:rsid w:val="00DF66F5"/>
    <w:rsid w:val="00DF74C3"/>
    <w:rsid w:val="00DF7ABC"/>
    <w:rsid w:val="00E0279C"/>
    <w:rsid w:val="00E059B7"/>
    <w:rsid w:val="00E05E81"/>
    <w:rsid w:val="00E10D5F"/>
    <w:rsid w:val="00E112A2"/>
    <w:rsid w:val="00E125D7"/>
    <w:rsid w:val="00E1371C"/>
    <w:rsid w:val="00E13F06"/>
    <w:rsid w:val="00E153E2"/>
    <w:rsid w:val="00E174DF"/>
    <w:rsid w:val="00E20144"/>
    <w:rsid w:val="00E26DEB"/>
    <w:rsid w:val="00E27373"/>
    <w:rsid w:val="00E30046"/>
    <w:rsid w:val="00E3119D"/>
    <w:rsid w:val="00E31782"/>
    <w:rsid w:val="00E34167"/>
    <w:rsid w:val="00E40CDF"/>
    <w:rsid w:val="00E415EC"/>
    <w:rsid w:val="00E43B33"/>
    <w:rsid w:val="00E43ECB"/>
    <w:rsid w:val="00E4580F"/>
    <w:rsid w:val="00E45BF2"/>
    <w:rsid w:val="00E467EB"/>
    <w:rsid w:val="00E50CA5"/>
    <w:rsid w:val="00E5501B"/>
    <w:rsid w:val="00E55D6F"/>
    <w:rsid w:val="00E55F81"/>
    <w:rsid w:val="00E56B30"/>
    <w:rsid w:val="00E56E5C"/>
    <w:rsid w:val="00E60714"/>
    <w:rsid w:val="00E61ABA"/>
    <w:rsid w:val="00E63331"/>
    <w:rsid w:val="00E63A0F"/>
    <w:rsid w:val="00E65BE5"/>
    <w:rsid w:val="00E7084F"/>
    <w:rsid w:val="00E7152C"/>
    <w:rsid w:val="00E72695"/>
    <w:rsid w:val="00E7321B"/>
    <w:rsid w:val="00E7340C"/>
    <w:rsid w:val="00E73AC6"/>
    <w:rsid w:val="00E81872"/>
    <w:rsid w:val="00E8311C"/>
    <w:rsid w:val="00E83525"/>
    <w:rsid w:val="00E861A4"/>
    <w:rsid w:val="00E87731"/>
    <w:rsid w:val="00E92121"/>
    <w:rsid w:val="00E92125"/>
    <w:rsid w:val="00E94892"/>
    <w:rsid w:val="00E96099"/>
    <w:rsid w:val="00E965BD"/>
    <w:rsid w:val="00EA0092"/>
    <w:rsid w:val="00EA0AF0"/>
    <w:rsid w:val="00EA15E6"/>
    <w:rsid w:val="00EA1DAD"/>
    <w:rsid w:val="00EA35E1"/>
    <w:rsid w:val="00EA3DD8"/>
    <w:rsid w:val="00EA5183"/>
    <w:rsid w:val="00EA57FB"/>
    <w:rsid w:val="00EA6513"/>
    <w:rsid w:val="00EA7AD3"/>
    <w:rsid w:val="00EB0F90"/>
    <w:rsid w:val="00EB14F9"/>
    <w:rsid w:val="00EB15FC"/>
    <w:rsid w:val="00EB4474"/>
    <w:rsid w:val="00EB459D"/>
    <w:rsid w:val="00EB45BE"/>
    <w:rsid w:val="00EB5731"/>
    <w:rsid w:val="00EC039E"/>
    <w:rsid w:val="00EC188A"/>
    <w:rsid w:val="00EC3912"/>
    <w:rsid w:val="00EC4FFE"/>
    <w:rsid w:val="00EC6FF8"/>
    <w:rsid w:val="00EC727D"/>
    <w:rsid w:val="00ED0B45"/>
    <w:rsid w:val="00ED0FE7"/>
    <w:rsid w:val="00ED294F"/>
    <w:rsid w:val="00ED4EB8"/>
    <w:rsid w:val="00ED5AA4"/>
    <w:rsid w:val="00ED60A1"/>
    <w:rsid w:val="00ED6C15"/>
    <w:rsid w:val="00EE04AC"/>
    <w:rsid w:val="00EE3344"/>
    <w:rsid w:val="00EE4355"/>
    <w:rsid w:val="00EE52D8"/>
    <w:rsid w:val="00EE5DDD"/>
    <w:rsid w:val="00EE659B"/>
    <w:rsid w:val="00EF0889"/>
    <w:rsid w:val="00EF1974"/>
    <w:rsid w:val="00EF1F1E"/>
    <w:rsid w:val="00EF2A51"/>
    <w:rsid w:val="00EF2D5F"/>
    <w:rsid w:val="00EF4808"/>
    <w:rsid w:val="00EF48C8"/>
    <w:rsid w:val="00EF6007"/>
    <w:rsid w:val="00EF666C"/>
    <w:rsid w:val="00EF6BA2"/>
    <w:rsid w:val="00EF70E1"/>
    <w:rsid w:val="00EF7F65"/>
    <w:rsid w:val="00F000BB"/>
    <w:rsid w:val="00F00260"/>
    <w:rsid w:val="00F01A46"/>
    <w:rsid w:val="00F070FD"/>
    <w:rsid w:val="00F07CBE"/>
    <w:rsid w:val="00F103D4"/>
    <w:rsid w:val="00F10A0B"/>
    <w:rsid w:val="00F10E7B"/>
    <w:rsid w:val="00F11FAC"/>
    <w:rsid w:val="00F1251D"/>
    <w:rsid w:val="00F129E3"/>
    <w:rsid w:val="00F14CB4"/>
    <w:rsid w:val="00F1761E"/>
    <w:rsid w:val="00F209C9"/>
    <w:rsid w:val="00F22219"/>
    <w:rsid w:val="00F2299F"/>
    <w:rsid w:val="00F23077"/>
    <w:rsid w:val="00F235BB"/>
    <w:rsid w:val="00F2452C"/>
    <w:rsid w:val="00F24612"/>
    <w:rsid w:val="00F24DAF"/>
    <w:rsid w:val="00F24F87"/>
    <w:rsid w:val="00F250B9"/>
    <w:rsid w:val="00F256CE"/>
    <w:rsid w:val="00F2770A"/>
    <w:rsid w:val="00F32444"/>
    <w:rsid w:val="00F329AA"/>
    <w:rsid w:val="00F32D3F"/>
    <w:rsid w:val="00F33825"/>
    <w:rsid w:val="00F35D9E"/>
    <w:rsid w:val="00F372C4"/>
    <w:rsid w:val="00F404AD"/>
    <w:rsid w:val="00F41278"/>
    <w:rsid w:val="00F41400"/>
    <w:rsid w:val="00F424E0"/>
    <w:rsid w:val="00F42601"/>
    <w:rsid w:val="00F42741"/>
    <w:rsid w:val="00F439F7"/>
    <w:rsid w:val="00F440CA"/>
    <w:rsid w:val="00F44225"/>
    <w:rsid w:val="00F44B58"/>
    <w:rsid w:val="00F465A8"/>
    <w:rsid w:val="00F52395"/>
    <w:rsid w:val="00F53B7F"/>
    <w:rsid w:val="00F55124"/>
    <w:rsid w:val="00F551E2"/>
    <w:rsid w:val="00F57676"/>
    <w:rsid w:val="00F60F19"/>
    <w:rsid w:val="00F61B9B"/>
    <w:rsid w:val="00F620C4"/>
    <w:rsid w:val="00F636E7"/>
    <w:rsid w:val="00F64638"/>
    <w:rsid w:val="00F65446"/>
    <w:rsid w:val="00F66297"/>
    <w:rsid w:val="00F71BC1"/>
    <w:rsid w:val="00F73381"/>
    <w:rsid w:val="00F75964"/>
    <w:rsid w:val="00F77223"/>
    <w:rsid w:val="00F8022C"/>
    <w:rsid w:val="00F83826"/>
    <w:rsid w:val="00F847C2"/>
    <w:rsid w:val="00F85BE4"/>
    <w:rsid w:val="00F85D6C"/>
    <w:rsid w:val="00F86DBA"/>
    <w:rsid w:val="00F9099A"/>
    <w:rsid w:val="00F90FBC"/>
    <w:rsid w:val="00F91B6A"/>
    <w:rsid w:val="00F92C78"/>
    <w:rsid w:val="00F930FA"/>
    <w:rsid w:val="00F94AC5"/>
    <w:rsid w:val="00F94BE6"/>
    <w:rsid w:val="00F95D64"/>
    <w:rsid w:val="00F9699E"/>
    <w:rsid w:val="00F96A7D"/>
    <w:rsid w:val="00F96B9E"/>
    <w:rsid w:val="00F9737F"/>
    <w:rsid w:val="00FA1901"/>
    <w:rsid w:val="00FA2A78"/>
    <w:rsid w:val="00FA35E4"/>
    <w:rsid w:val="00FA49B9"/>
    <w:rsid w:val="00FA4D26"/>
    <w:rsid w:val="00FA524A"/>
    <w:rsid w:val="00FA63AD"/>
    <w:rsid w:val="00FA6F77"/>
    <w:rsid w:val="00FB1692"/>
    <w:rsid w:val="00FB1AC0"/>
    <w:rsid w:val="00FB1B0E"/>
    <w:rsid w:val="00FB21CF"/>
    <w:rsid w:val="00FB4162"/>
    <w:rsid w:val="00FB42E3"/>
    <w:rsid w:val="00FB4ACC"/>
    <w:rsid w:val="00FB6904"/>
    <w:rsid w:val="00FB7FF6"/>
    <w:rsid w:val="00FC10ED"/>
    <w:rsid w:val="00FC1427"/>
    <w:rsid w:val="00FC179E"/>
    <w:rsid w:val="00FC185F"/>
    <w:rsid w:val="00FC243A"/>
    <w:rsid w:val="00FC2F65"/>
    <w:rsid w:val="00FC3973"/>
    <w:rsid w:val="00FC3C0A"/>
    <w:rsid w:val="00FD009B"/>
    <w:rsid w:val="00FD0BE1"/>
    <w:rsid w:val="00FD0E00"/>
    <w:rsid w:val="00FD208D"/>
    <w:rsid w:val="00FD2098"/>
    <w:rsid w:val="00FD302F"/>
    <w:rsid w:val="00FD3925"/>
    <w:rsid w:val="00FD5FEA"/>
    <w:rsid w:val="00FD6E34"/>
    <w:rsid w:val="00FD7DCA"/>
    <w:rsid w:val="00FE03E2"/>
    <w:rsid w:val="00FE207D"/>
    <w:rsid w:val="00FE3CBD"/>
    <w:rsid w:val="00FE4486"/>
    <w:rsid w:val="00FE6997"/>
    <w:rsid w:val="00FF0468"/>
    <w:rsid w:val="00FF04C5"/>
    <w:rsid w:val="00FF1A6D"/>
    <w:rsid w:val="00FF203E"/>
    <w:rsid w:val="00FF20E9"/>
    <w:rsid w:val="00FF3098"/>
    <w:rsid w:val="00FF3EA1"/>
    <w:rsid w:val="00FF4AF8"/>
    <w:rsid w:val="00FF5585"/>
    <w:rsid w:val="00FF5A42"/>
    <w:rsid w:val="00FF5DD3"/>
    <w:rsid w:val="00FF661C"/>
    <w:rsid w:val="00FF6983"/>
    <w:rsid w:val="00FF7A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676"/>
    <w:pPr>
      <w:spacing w:after="200" w:line="276" w:lineRule="auto"/>
    </w:pPr>
    <w:rPr>
      <w:lang w:eastAsia="en-US"/>
    </w:rPr>
  </w:style>
  <w:style w:type="paragraph" w:styleId="Heading1">
    <w:name w:val="heading 1"/>
    <w:basedOn w:val="Normal"/>
    <w:next w:val="Normal"/>
    <w:link w:val="Heading1Char"/>
    <w:uiPriority w:val="99"/>
    <w:qFormat/>
    <w:rsid w:val="006C50A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C50A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CE1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DC145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DC145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rsid w:val="00F4140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0A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6C50A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E1BD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sid w:val="00DC1450"/>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DC1450"/>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locked/>
    <w:rsid w:val="00F41400"/>
    <w:rPr>
      <w:rFonts w:ascii="Calibri" w:hAnsi="Calibri" w:cs="Times New Roman"/>
      <w:b/>
      <w:bCs/>
      <w:sz w:val="22"/>
      <w:szCs w:val="22"/>
      <w:lang w:eastAsia="en-US"/>
    </w:rPr>
  </w:style>
  <w:style w:type="character" w:styleId="Hyperlink">
    <w:name w:val="Hyperlink"/>
    <w:basedOn w:val="DefaultParagraphFont"/>
    <w:uiPriority w:val="99"/>
    <w:rsid w:val="0079222A"/>
    <w:rPr>
      <w:rFonts w:cs="Times New Roman"/>
      <w:color w:val="0000FF"/>
      <w:u w:val="single"/>
    </w:rPr>
  </w:style>
  <w:style w:type="paragraph" w:styleId="ListParagraph">
    <w:name w:val="List Paragraph"/>
    <w:basedOn w:val="Normal"/>
    <w:uiPriority w:val="99"/>
    <w:qFormat/>
    <w:rsid w:val="00D93A70"/>
    <w:pPr>
      <w:ind w:left="720"/>
      <w:contextualSpacing/>
    </w:pPr>
  </w:style>
  <w:style w:type="paragraph" w:styleId="BalloonText">
    <w:name w:val="Balloon Text"/>
    <w:basedOn w:val="Normal"/>
    <w:link w:val="BalloonTextChar"/>
    <w:uiPriority w:val="99"/>
    <w:semiHidden/>
    <w:rsid w:val="007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5E05"/>
    <w:rPr>
      <w:rFonts w:ascii="Tahoma" w:hAnsi="Tahoma" w:cs="Tahoma"/>
      <w:sz w:val="16"/>
      <w:szCs w:val="16"/>
    </w:rPr>
  </w:style>
  <w:style w:type="character" w:styleId="CommentReference">
    <w:name w:val="annotation reference"/>
    <w:basedOn w:val="DefaultParagraphFont"/>
    <w:uiPriority w:val="99"/>
    <w:semiHidden/>
    <w:rsid w:val="00BD01D8"/>
    <w:rPr>
      <w:rFonts w:cs="Times New Roman"/>
      <w:sz w:val="16"/>
      <w:szCs w:val="16"/>
    </w:rPr>
  </w:style>
  <w:style w:type="paragraph" w:styleId="CommentText">
    <w:name w:val="annotation text"/>
    <w:basedOn w:val="Normal"/>
    <w:link w:val="CommentTextChar"/>
    <w:uiPriority w:val="99"/>
    <w:semiHidden/>
    <w:rsid w:val="00BD01D8"/>
    <w:rPr>
      <w:sz w:val="20"/>
      <w:szCs w:val="20"/>
    </w:rPr>
  </w:style>
  <w:style w:type="character" w:customStyle="1" w:styleId="CommentTextChar">
    <w:name w:val="Comment Text Char"/>
    <w:basedOn w:val="DefaultParagraphFont"/>
    <w:link w:val="CommentText"/>
    <w:uiPriority w:val="99"/>
    <w:semiHidden/>
    <w:locked/>
    <w:rsid w:val="00BD01D8"/>
    <w:rPr>
      <w:rFonts w:cs="Times New Roman"/>
      <w:lang w:eastAsia="en-US"/>
    </w:rPr>
  </w:style>
  <w:style w:type="paragraph" w:styleId="CommentSubject">
    <w:name w:val="annotation subject"/>
    <w:basedOn w:val="CommentText"/>
    <w:next w:val="CommentText"/>
    <w:link w:val="CommentSubjectChar"/>
    <w:uiPriority w:val="99"/>
    <w:semiHidden/>
    <w:rsid w:val="00BD01D8"/>
    <w:rPr>
      <w:b/>
      <w:bCs/>
    </w:rPr>
  </w:style>
  <w:style w:type="character" w:customStyle="1" w:styleId="CommentSubjectChar">
    <w:name w:val="Comment Subject Char"/>
    <w:basedOn w:val="CommentTextChar"/>
    <w:link w:val="CommentSubject"/>
    <w:uiPriority w:val="99"/>
    <w:semiHidden/>
    <w:locked/>
    <w:rsid w:val="00BD01D8"/>
    <w:rPr>
      <w:rFonts w:cs="Times New Roman"/>
      <w:b/>
      <w:bCs/>
      <w:lang w:eastAsia="en-US"/>
    </w:rPr>
  </w:style>
  <w:style w:type="character" w:customStyle="1" w:styleId="AERbody">
    <w:name w:val="AER body"/>
    <w:basedOn w:val="DefaultParagraphFont"/>
    <w:uiPriority w:val="99"/>
    <w:rsid w:val="006C50AD"/>
    <w:rPr>
      <w:rFonts w:ascii="Gautami" w:hAnsi="Gautami" w:cs="Times New Roman"/>
      <w:color w:val="auto"/>
      <w:sz w:val="20"/>
    </w:rPr>
  </w:style>
  <w:style w:type="paragraph" w:customStyle="1" w:styleId="AERbodytext">
    <w:name w:val="AER body text"/>
    <w:uiPriority w:val="99"/>
    <w:rsid w:val="006C50AD"/>
    <w:pPr>
      <w:numPr>
        <w:numId w:val="11"/>
      </w:numPr>
      <w:spacing w:after="240" w:line="288" w:lineRule="auto"/>
      <w:jc w:val="both"/>
    </w:pPr>
    <w:rPr>
      <w:rFonts w:ascii="Gautami" w:eastAsia="Times New Roman" w:hAnsi="Gautami"/>
      <w:sz w:val="20"/>
      <w:szCs w:val="24"/>
      <w:lang w:eastAsia="en-US"/>
    </w:rPr>
  </w:style>
  <w:style w:type="paragraph" w:customStyle="1" w:styleId="AERbulletlistsecondstyle">
    <w:name w:val="AER bullet list (second style)"/>
    <w:basedOn w:val="AERbodytext"/>
    <w:uiPriority w:val="99"/>
    <w:rsid w:val="006C50AD"/>
    <w:pPr>
      <w:numPr>
        <w:numId w:val="9"/>
      </w:numPr>
      <w:tabs>
        <w:tab w:val="left" w:pos="709"/>
      </w:tabs>
      <w:spacing w:after="200"/>
      <w:ind w:left="714" w:hanging="357"/>
    </w:pPr>
  </w:style>
  <w:style w:type="paragraph" w:customStyle="1" w:styleId="AERnumberedlistfirststyle">
    <w:name w:val="AER numbered list (first style)"/>
    <w:basedOn w:val="AERbodytext"/>
    <w:uiPriority w:val="99"/>
    <w:rsid w:val="006C50AD"/>
    <w:pPr>
      <w:numPr>
        <w:ilvl w:val="1"/>
      </w:numPr>
      <w:spacing w:after="200"/>
    </w:pPr>
  </w:style>
  <w:style w:type="paragraph" w:customStyle="1" w:styleId="AERnumberedlistsecondstyle">
    <w:name w:val="AER numbered list (second style)"/>
    <w:basedOn w:val="AERnumberedlistfirststyle"/>
    <w:uiPriority w:val="99"/>
    <w:rsid w:val="006C50AD"/>
    <w:pPr>
      <w:numPr>
        <w:ilvl w:val="2"/>
      </w:numPr>
    </w:pPr>
  </w:style>
  <w:style w:type="paragraph" w:customStyle="1" w:styleId="AERnumberedlistthirdstyle">
    <w:name w:val="AER numbered list (third style)"/>
    <w:basedOn w:val="AERnumberedlistsecondstyle"/>
    <w:uiPriority w:val="99"/>
    <w:rsid w:val="006C50AD"/>
    <w:pPr>
      <w:numPr>
        <w:ilvl w:val="3"/>
      </w:numPr>
    </w:pPr>
  </w:style>
  <w:style w:type="character" w:customStyle="1" w:styleId="AERtextbolditalics">
    <w:name w:val="AER text bold italics"/>
    <w:basedOn w:val="DefaultParagraphFont"/>
    <w:uiPriority w:val="99"/>
    <w:rsid w:val="006C50AD"/>
    <w:rPr>
      <w:rFonts w:cs="Times New Roman"/>
      <w:b/>
      <w:i/>
    </w:rPr>
  </w:style>
  <w:style w:type="paragraph" w:customStyle="1" w:styleId="AERtitle1">
    <w:name w:val="AER title 1"/>
    <w:uiPriority w:val="99"/>
    <w:rsid w:val="006C50AD"/>
    <w:pPr>
      <w:spacing w:after="240" w:line="288" w:lineRule="auto"/>
      <w:jc w:val="center"/>
    </w:pPr>
    <w:rPr>
      <w:rFonts w:ascii="Gautami" w:eastAsia="Times New Roman" w:hAnsi="Gautami"/>
      <w:b/>
      <w:sz w:val="40"/>
      <w:szCs w:val="24"/>
    </w:rPr>
  </w:style>
  <w:style w:type="paragraph" w:customStyle="1" w:styleId="AERtitle2">
    <w:name w:val="AER title 2"/>
    <w:uiPriority w:val="99"/>
    <w:rsid w:val="006C50AD"/>
    <w:pPr>
      <w:spacing w:after="240" w:line="288" w:lineRule="auto"/>
      <w:jc w:val="center"/>
    </w:pPr>
    <w:rPr>
      <w:rFonts w:ascii="Gautami" w:eastAsia="Times New Roman" w:hAnsi="Gautami"/>
      <w:sz w:val="32"/>
      <w:szCs w:val="24"/>
      <w:lang w:eastAsia="en-US"/>
    </w:rPr>
  </w:style>
  <w:style w:type="paragraph" w:customStyle="1" w:styleId="AERnumberedlist2first">
    <w:name w:val="AER numbered list 2 first"/>
    <w:basedOn w:val="AERbodytext"/>
    <w:uiPriority w:val="99"/>
    <w:rsid w:val="006C50AD"/>
    <w:pPr>
      <w:numPr>
        <w:ilvl w:val="4"/>
      </w:numPr>
    </w:pPr>
  </w:style>
  <w:style w:type="paragraph" w:customStyle="1" w:styleId="AERnumberedlist2second">
    <w:name w:val="AER numbered list 2 second"/>
    <w:basedOn w:val="AERnumberedlist2first"/>
    <w:uiPriority w:val="99"/>
    <w:rsid w:val="006C50AD"/>
    <w:pPr>
      <w:numPr>
        <w:ilvl w:val="5"/>
      </w:numPr>
    </w:pPr>
  </w:style>
  <w:style w:type="paragraph" w:customStyle="1" w:styleId="AERnumberedlist2third">
    <w:name w:val="AER numbered list 2 third"/>
    <w:basedOn w:val="AERnumberedlist2second"/>
    <w:uiPriority w:val="99"/>
    <w:rsid w:val="006C50AD"/>
    <w:pPr>
      <w:numPr>
        <w:ilvl w:val="6"/>
      </w:numPr>
    </w:pPr>
  </w:style>
  <w:style w:type="paragraph" w:customStyle="1" w:styleId="HeadingBoldItalic">
    <w:name w:val="Heading Bold Italic"/>
    <w:basedOn w:val="AERbodytext"/>
    <w:next w:val="AERbodytext"/>
    <w:uiPriority w:val="99"/>
    <w:rsid w:val="006C50AD"/>
    <w:rPr>
      <w:b/>
      <w:i/>
    </w:rPr>
  </w:style>
  <w:style w:type="paragraph" w:customStyle="1" w:styleId="HeadingItalic">
    <w:name w:val="Heading Italic"/>
    <w:basedOn w:val="AERbodytext"/>
    <w:next w:val="AERbodytext"/>
    <w:uiPriority w:val="99"/>
    <w:rsid w:val="006C50AD"/>
    <w:rPr>
      <w:i/>
    </w:rPr>
  </w:style>
  <w:style w:type="paragraph" w:styleId="Header">
    <w:name w:val="header"/>
    <w:basedOn w:val="Normal"/>
    <w:link w:val="HeaderChar"/>
    <w:uiPriority w:val="99"/>
    <w:semiHidden/>
    <w:rsid w:val="0025069A"/>
    <w:pPr>
      <w:tabs>
        <w:tab w:val="center" w:pos="4513"/>
        <w:tab w:val="right" w:pos="9026"/>
      </w:tabs>
    </w:pPr>
  </w:style>
  <w:style w:type="character" w:customStyle="1" w:styleId="HeaderChar">
    <w:name w:val="Header Char"/>
    <w:basedOn w:val="DefaultParagraphFont"/>
    <w:link w:val="Header"/>
    <w:uiPriority w:val="99"/>
    <w:semiHidden/>
    <w:locked/>
    <w:rsid w:val="0025069A"/>
    <w:rPr>
      <w:rFonts w:cs="Times New Roman"/>
      <w:sz w:val="22"/>
      <w:szCs w:val="22"/>
      <w:lang w:eastAsia="en-US"/>
    </w:rPr>
  </w:style>
  <w:style w:type="paragraph" w:styleId="Footer">
    <w:name w:val="footer"/>
    <w:basedOn w:val="Normal"/>
    <w:link w:val="FooterChar"/>
    <w:uiPriority w:val="99"/>
    <w:rsid w:val="0025069A"/>
    <w:pPr>
      <w:tabs>
        <w:tab w:val="center" w:pos="4513"/>
        <w:tab w:val="right" w:pos="9026"/>
      </w:tabs>
    </w:pPr>
  </w:style>
  <w:style w:type="character" w:customStyle="1" w:styleId="FooterChar">
    <w:name w:val="Footer Char"/>
    <w:basedOn w:val="DefaultParagraphFont"/>
    <w:link w:val="Footer"/>
    <w:uiPriority w:val="99"/>
    <w:locked/>
    <w:rsid w:val="0025069A"/>
    <w:rPr>
      <w:rFonts w:cs="Times New Roman"/>
      <w:sz w:val="22"/>
      <w:szCs w:val="22"/>
      <w:lang w:eastAsia="en-US"/>
    </w:rPr>
  </w:style>
  <w:style w:type="table" w:styleId="TableGrid">
    <w:name w:val="Table Grid"/>
    <w:basedOn w:val="TableNormal"/>
    <w:uiPriority w:val="99"/>
    <w:rsid w:val="006F1D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B02D7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B02D76"/>
    <w:rPr>
      <w:rFonts w:ascii="Cambria" w:hAnsi="Cambria" w:cs="Times New Roman"/>
      <w:b/>
      <w:bCs/>
      <w:kern w:val="28"/>
      <w:sz w:val="32"/>
      <w:szCs w:val="32"/>
      <w:lang w:eastAsia="en-US"/>
    </w:rPr>
  </w:style>
  <w:style w:type="paragraph" w:styleId="DocumentMap">
    <w:name w:val="Document Map"/>
    <w:basedOn w:val="Normal"/>
    <w:link w:val="DocumentMapChar"/>
    <w:uiPriority w:val="99"/>
    <w:semiHidden/>
    <w:rsid w:val="00587B21"/>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87B21"/>
    <w:rPr>
      <w:rFonts w:ascii="Tahoma" w:hAnsi="Tahoma" w:cs="Tahoma"/>
      <w:sz w:val="16"/>
      <w:szCs w:val="16"/>
      <w:lang w:eastAsia="en-US"/>
    </w:rPr>
  </w:style>
  <w:style w:type="character" w:styleId="FollowedHyperlink">
    <w:name w:val="FollowedHyperlink"/>
    <w:basedOn w:val="DefaultParagraphFont"/>
    <w:uiPriority w:val="99"/>
    <w:semiHidden/>
    <w:rsid w:val="00482417"/>
    <w:rPr>
      <w:rFonts w:cs="Times New Roman"/>
      <w:color w:val="800080"/>
      <w:u w:val="single"/>
    </w:rPr>
  </w:style>
  <w:style w:type="numbering" w:customStyle="1" w:styleId="AERnumberedlist">
    <w:name w:val="AER numbered list"/>
    <w:rsid w:val="00E2499D"/>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ERnumbered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304393">
      <w:marLeft w:val="0"/>
      <w:marRight w:val="0"/>
      <w:marTop w:val="0"/>
      <w:marBottom w:val="0"/>
      <w:divBdr>
        <w:top w:val="none" w:sz="0" w:space="0" w:color="auto"/>
        <w:left w:val="none" w:sz="0" w:space="0" w:color="auto"/>
        <w:bottom w:val="none" w:sz="0" w:space="0" w:color="auto"/>
        <w:right w:val="none" w:sz="0" w:space="0" w:color="auto"/>
      </w:divBdr>
    </w:div>
    <w:div w:id="1068304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er.gov.au/node/20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1800</Words>
  <Characters>9565</Characters>
  <Application>Microsoft Office Word</Application>
  <DocSecurity>0</DocSecurity>
  <Lines>79</Lines>
  <Paragraphs>22</Paragraphs>
  <ScaleCrop>false</ScaleCrop>
  <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dc:title>
  <dc:subject/>
  <dc:creator/>
  <cp:keywords/>
  <dc:description/>
  <cp:lastModifiedBy/>
  <cp:revision>1</cp:revision>
  <dcterms:created xsi:type="dcterms:W3CDTF">2013-07-11T23:16:00Z</dcterms:created>
  <dcterms:modified xsi:type="dcterms:W3CDTF">2013-07-11T23:16:00Z</dcterms:modified>
</cp:coreProperties>
</file>